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98B" w:rsidRDefault="00293DDE" w:rsidP="00293DDE">
      <w:pPr>
        <w:spacing w:before="80"/>
        <w:ind w:left="720" w:hanging="990"/>
        <w:jc w:val="both"/>
        <w:rPr>
          <w:rFonts w:ascii="Ideal Sans Semibold" w:hAnsi="Ideal Sans Semibold" w:cs="Arial"/>
          <w:bCs/>
          <w:kern w:val="32"/>
          <w:szCs w:val="32"/>
        </w:rPr>
      </w:pPr>
      <w:r>
        <w:rPr>
          <w:rFonts w:ascii="Ideal Sans Semibold" w:hAnsi="Ideal Sans Semibold" w:cs="Arial"/>
          <w:bCs/>
          <w:kern w:val="32"/>
          <w:szCs w:val="32"/>
        </w:rPr>
        <w:t>Document</w:t>
      </w:r>
      <w:r w:rsidR="005F098B" w:rsidRPr="00916066">
        <w:rPr>
          <w:rFonts w:ascii="Ideal Sans Semibold" w:hAnsi="Ideal Sans Semibold" w:cs="Arial"/>
          <w:bCs/>
          <w:kern w:val="32"/>
          <w:szCs w:val="32"/>
        </w:rPr>
        <w:t xml:space="preserve"> title: </w:t>
      </w:r>
      <w:r>
        <w:rPr>
          <w:rFonts w:ascii="Ideal Sans Semibold" w:hAnsi="Ideal Sans Semibold" w:cs="Arial"/>
          <w:bCs/>
          <w:kern w:val="32"/>
          <w:szCs w:val="32"/>
        </w:rPr>
        <w:t>CONDUCT OF ANNUAL PERFORMANCE REVIEWS IN SBS</w:t>
      </w:r>
    </w:p>
    <w:p w:rsidR="005F098B" w:rsidRDefault="001E15E9" w:rsidP="00293DDE">
      <w:pPr>
        <w:spacing w:before="80"/>
        <w:ind w:left="630" w:hanging="900"/>
        <w:jc w:val="both"/>
        <w:rPr>
          <w:rFonts w:ascii="Ideal Sans Semibold" w:hAnsi="Ideal Sans Semibold" w:cs="Arial"/>
          <w:bCs/>
          <w:kern w:val="32"/>
          <w:szCs w:val="32"/>
        </w:rPr>
      </w:pPr>
      <w:r>
        <w:rPr>
          <w:rFonts w:ascii="Ideal Sans Semibold" w:hAnsi="Ideal Sans Semibold" w:cs="Arial"/>
          <w:bCs/>
          <w:kern w:val="32"/>
          <w:szCs w:val="32"/>
        </w:rPr>
        <w:t>UPDATED</w:t>
      </w:r>
      <w:r w:rsidR="005F098B" w:rsidRPr="00916066">
        <w:rPr>
          <w:rFonts w:ascii="Ideal Sans Semibold" w:hAnsi="Ideal Sans Semibold" w:cs="Arial"/>
          <w:bCs/>
          <w:kern w:val="32"/>
          <w:szCs w:val="32"/>
        </w:rPr>
        <w:t xml:space="preserve">:  </w:t>
      </w:r>
      <w:r w:rsidR="00F5052B">
        <w:rPr>
          <w:rFonts w:ascii="Ideal Sans Semibold" w:hAnsi="Ideal Sans Semibold" w:cs="Arial"/>
          <w:bCs/>
          <w:kern w:val="32"/>
          <w:szCs w:val="32"/>
        </w:rPr>
        <w:t>Fall 2018</w:t>
      </w:r>
    </w:p>
    <w:p w:rsidR="005F098B" w:rsidRPr="00293DDE" w:rsidRDefault="00293DDE" w:rsidP="00293DDE">
      <w:pPr>
        <w:spacing w:before="80"/>
        <w:ind w:left="630" w:hanging="900"/>
        <w:jc w:val="both"/>
        <w:rPr>
          <w:rFonts w:ascii="Ideal Sans Semibold" w:hAnsi="Ideal Sans Semibold" w:cs="Arial"/>
          <w:bCs/>
          <w:kern w:val="32"/>
          <w:sz w:val="18"/>
          <w:szCs w:val="32"/>
        </w:rPr>
      </w:pPr>
      <w:r>
        <w:rPr>
          <w:rFonts w:ascii="Ideal Sans Semibold" w:hAnsi="Ideal Sans Semibold" w:cs="Arial"/>
          <w:bCs/>
          <w:kern w:val="32"/>
          <w:szCs w:val="32"/>
        </w:rPr>
        <w:t xml:space="preserve"> </w:t>
      </w:r>
    </w:p>
    <w:p w:rsidR="00C9112B" w:rsidRPr="00293DDE" w:rsidRDefault="00891210" w:rsidP="00293DDE">
      <w:pPr>
        <w:spacing w:before="80" w:after="120"/>
        <w:ind w:left="-270"/>
        <w:rPr>
          <w:rFonts w:asciiTheme="minorHAnsi" w:hAnsiTheme="minorHAnsi"/>
        </w:rPr>
      </w:pPr>
      <w:r w:rsidRPr="00293DDE">
        <w:rPr>
          <w:rFonts w:asciiTheme="majorHAnsi" w:hAnsiTheme="majorHAnsi"/>
          <w:b/>
        </w:rPr>
        <w:t>COLLEGE EXPECTATIONS</w:t>
      </w:r>
    </w:p>
    <w:p w:rsidR="00C9112B" w:rsidRPr="00293DDE" w:rsidRDefault="00C9112B" w:rsidP="00293DDE">
      <w:pPr>
        <w:spacing w:before="80"/>
        <w:ind w:left="-270"/>
        <w:rPr>
          <w:rFonts w:asciiTheme="majorHAnsi" w:hAnsiTheme="majorHAnsi"/>
          <w:b/>
          <w:i/>
        </w:rPr>
      </w:pPr>
      <w:r w:rsidRPr="00293DDE">
        <w:rPr>
          <w:rFonts w:asciiTheme="minorHAnsi" w:hAnsiTheme="minorHAnsi" w:cstheme="minorHAnsi"/>
        </w:rPr>
        <w:t xml:space="preserve">All units in SBS are expected to adopt sensible and fair </w:t>
      </w:r>
      <w:r w:rsidRPr="00293DDE">
        <w:rPr>
          <w:rFonts w:asciiTheme="minorHAnsi" w:hAnsiTheme="minorHAnsi" w:cstheme="minorHAnsi"/>
          <w:b/>
        </w:rPr>
        <w:t>procedures</w:t>
      </w:r>
      <w:r w:rsidRPr="00293DDE">
        <w:rPr>
          <w:rFonts w:asciiTheme="minorHAnsi" w:hAnsiTheme="minorHAnsi" w:cstheme="minorHAnsi"/>
        </w:rPr>
        <w:t xml:space="preserve"> and </w:t>
      </w:r>
      <w:r w:rsidRPr="00293DDE">
        <w:rPr>
          <w:rFonts w:asciiTheme="minorHAnsi" w:hAnsiTheme="minorHAnsi" w:cstheme="minorHAnsi"/>
          <w:b/>
        </w:rPr>
        <w:t>standards</w:t>
      </w:r>
      <w:r w:rsidRPr="00293DDE">
        <w:rPr>
          <w:rFonts w:asciiTheme="minorHAnsi" w:hAnsiTheme="minorHAnsi" w:cstheme="minorHAnsi"/>
        </w:rPr>
        <w:t xml:space="preserve"> that are reasonably in line with other units’ expectations for conducting reviews. </w:t>
      </w:r>
      <w:r w:rsidR="00C319E4" w:rsidRPr="00293DDE">
        <w:rPr>
          <w:rFonts w:asciiTheme="minorHAnsi" w:hAnsiTheme="minorHAnsi" w:cstheme="minorHAnsi"/>
        </w:rPr>
        <w:t>These include</w:t>
      </w:r>
      <w:r w:rsidRPr="00293DDE">
        <w:rPr>
          <w:rFonts w:asciiTheme="minorHAnsi" w:hAnsiTheme="minorHAnsi" w:cstheme="minorHAnsi"/>
        </w:rPr>
        <w:t>:</w:t>
      </w:r>
    </w:p>
    <w:p w:rsidR="00C9112B" w:rsidRPr="00293DDE" w:rsidRDefault="00C9112B" w:rsidP="001E15E9">
      <w:pPr>
        <w:pStyle w:val="ListParagraph"/>
        <w:numPr>
          <w:ilvl w:val="0"/>
          <w:numId w:val="7"/>
        </w:numPr>
        <w:spacing w:before="80"/>
        <w:ind w:left="270"/>
        <w:contextualSpacing w:val="0"/>
        <w:rPr>
          <w:rFonts w:asciiTheme="minorHAnsi" w:hAnsiTheme="minorHAnsi" w:cstheme="minorHAnsi"/>
          <w:i/>
        </w:rPr>
      </w:pPr>
      <w:r w:rsidRPr="00293DDE">
        <w:rPr>
          <w:rFonts w:asciiTheme="minorHAnsi" w:hAnsiTheme="minorHAnsi" w:cstheme="minorHAnsi"/>
        </w:rPr>
        <w:t>The adoption of sufficiently rigorous, clear, sensible, and fair standards</w:t>
      </w:r>
      <w:r w:rsidRPr="00293DDE">
        <w:rPr>
          <w:rFonts w:asciiTheme="minorHAnsi" w:hAnsiTheme="minorHAnsi" w:cstheme="minorHAnsi"/>
          <w:b/>
        </w:rPr>
        <w:t xml:space="preserve"> </w:t>
      </w:r>
      <w:r w:rsidRPr="00293DDE">
        <w:rPr>
          <w:rFonts w:asciiTheme="minorHAnsi" w:hAnsiTheme="minorHAnsi" w:cstheme="minorHAnsi"/>
        </w:rPr>
        <w:t xml:space="preserve">for satisfying the </w:t>
      </w:r>
      <w:r w:rsidRPr="001E15E9">
        <w:rPr>
          <w:rFonts w:asciiTheme="minorHAnsi" w:hAnsiTheme="minorHAnsi" w:cstheme="minorHAnsi"/>
        </w:rPr>
        <w:t>various ranking categories</w:t>
      </w:r>
      <w:r w:rsidRPr="00293DDE">
        <w:rPr>
          <w:rFonts w:asciiTheme="minorHAnsi" w:hAnsiTheme="minorHAnsi" w:cstheme="minorHAnsi"/>
        </w:rPr>
        <w:t xml:space="preserve"> </w:t>
      </w:r>
    </w:p>
    <w:p w:rsidR="00C9112B" w:rsidRPr="00293DDE" w:rsidRDefault="00C9112B" w:rsidP="001E15E9">
      <w:pPr>
        <w:pStyle w:val="ListParagraph"/>
        <w:numPr>
          <w:ilvl w:val="0"/>
          <w:numId w:val="7"/>
        </w:numPr>
        <w:spacing w:before="80"/>
        <w:ind w:left="270"/>
        <w:contextualSpacing w:val="0"/>
        <w:rPr>
          <w:rFonts w:asciiTheme="minorHAnsi" w:hAnsiTheme="minorHAnsi" w:cstheme="minorHAnsi"/>
          <w:i/>
        </w:rPr>
      </w:pPr>
      <w:r w:rsidRPr="00293DDE">
        <w:rPr>
          <w:rFonts w:asciiTheme="minorHAnsi" w:hAnsiTheme="minorHAnsi" w:cstheme="minorHAnsi"/>
        </w:rPr>
        <w:t xml:space="preserve">The application of unit procedures and criteria fairly to individual faculty members </w:t>
      </w:r>
    </w:p>
    <w:p w:rsidR="008F7595" w:rsidRPr="00293DDE" w:rsidRDefault="00C9112B" w:rsidP="001E15E9">
      <w:pPr>
        <w:pStyle w:val="ListParagraph"/>
        <w:numPr>
          <w:ilvl w:val="0"/>
          <w:numId w:val="7"/>
        </w:numPr>
        <w:spacing w:before="80"/>
        <w:ind w:left="270"/>
        <w:contextualSpacing w:val="0"/>
        <w:rPr>
          <w:rFonts w:asciiTheme="minorHAnsi" w:hAnsiTheme="minorHAnsi" w:cstheme="minorHAnsi"/>
          <w:i/>
        </w:rPr>
      </w:pPr>
      <w:r w:rsidRPr="00293DDE">
        <w:rPr>
          <w:rFonts w:asciiTheme="minorHAnsi" w:hAnsiTheme="minorHAnsi" w:cstheme="minorHAnsi"/>
        </w:rPr>
        <w:t xml:space="preserve">Delivery of a set of evaluations that are reasonably spread across the various rating categories, given the level of performance of </w:t>
      </w:r>
      <w:r w:rsidR="00C319E4" w:rsidRPr="00293DDE">
        <w:rPr>
          <w:rFonts w:asciiTheme="minorHAnsi" w:hAnsiTheme="minorHAnsi" w:cstheme="minorHAnsi"/>
        </w:rPr>
        <w:t>unit</w:t>
      </w:r>
      <w:r w:rsidRPr="00293DDE">
        <w:rPr>
          <w:rFonts w:asciiTheme="minorHAnsi" w:hAnsiTheme="minorHAnsi" w:cstheme="minorHAnsi"/>
        </w:rPr>
        <w:t xml:space="preserve"> faculty</w:t>
      </w:r>
      <w:r w:rsidR="008F7595" w:rsidRPr="00293DDE">
        <w:rPr>
          <w:rFonts w:asciiTheme="minorHAnsi" w:hAnsiTheme="minorHAnsi" w:cstheme="minorHAnsi"/>
        </w:rPr>
        <w:br/>
      </w:r>
    </w:p>
    <w:p w:rsidR="000D49D2" w:rsidRPr="00293DDE" w:rsidRDefault="00891210" w:rsidP="00293DDE">
      <w:pPr>
        <w:pStyle w:val="ListParagraph"/>
        <w:spacing w:before="80" w:after="120"/>
        <w:ind w:left="-270"/>
        <w:contextualSpacing w:val="0"/>
        <w:rPr>
          <w:rFonts w:asciiTheme="majorHAnsi" w:hAnsiTheme="majorHAnsi"/>
          <w:b/>
        </w:rPr>
      </w:pPr>
      <w:r w:rsidRPr="00293DDE">
        <w:rPr>
          <w:rFonts w:asciiTheme="majorHAnsi" w:hAnsiTheme="majorHAnsi"/>
          <w:b/>
        </w:rPr>
        <w:t>REPORTING INFORMATION</w:t>
      </w:r>
    </w:p>
    <w:p w:rsidR="008F7595" w:rsidRPr="00293DDE" w:rsidRDefault="00F5052B" w:rsidP="00293DDE">
      <w:pPr>
        <w:pStyle w:val="ListParagraph"/>
        <w:spacing w:before="80" w:after="120"/>
        <w:ind w:left="-270"/>
        <w:contextualSpacing w:val="0"/>
        <w:rPr>
          <w:rFonts w:asciiTheme="minorHAnsi" w:hAnsiTheme="minorHAnsi"/>
        </w:rPr>
      </w:pPr>
      <w:r>
        <w:rPr>
          <w:rFonts w:asciiTheme="minorHAnsi" w:hAnsiTheme="minorHAnsi"/>
        </w:rPr>
        <w:t>All tenure/</w:t>
      </w:r>
      <w:r w:rsidR="00C319E4" w:rsidRPr="00293DDE">
        <w:rPr>
          <w:rFonts w:asciiTheme="minorHAnsi" w:hAnsiTheme="minorHAnsi"/>
        </w:rPr>
        <w:t xml:space="preserve">tenure track, </w:t>
      </w:r>
      <w:r>
        <w:rPr>
          <w:rFonts w:asciiTheme="minorHAnsi" w:hAnsiTheme="minorHAnsi"/>
        </w:rPr>
        <w:t>continuing status/</w:t>
      </w:r>
      <w:r w:rsidR="00C319E4" w:rsidRPr="00293DDE">
        <w:rPr>
          <w:rFonts w:asciiTheme="minorHAnsi" w:hAnsiTheme="minorHAnsi"/>
        </w:rPr>
        <w:t>continuing eligible</w:t>
      </w:r>
      <w:r>
        <w:rPr>
          <w:rFonts w:asciiTheme="minorHAnsi" w:hAnsiTheme="minorHAnsi"/>
        </w:rPr>
        <w:t xml:space="preserve">, and Career Track </w:t>
      </w:r>
      <w:r w:rsidRPr="00293DDE">
        <w:rPr>
          <w:rFonts w:asciiTheme="minorHAnsi" w:hAnsiTheme="minorHAnsi"/>
        </w:rPr>
        <w:t xml:space="preserve">faculty </w:t>
      </w:r>
      <w:r>
        <w:rPr>
          <w:rFonts w:asciiTheme="minorHAnsi" w:hAnsiTheme="minorHAnsi"/>
        </w:rPr>
        <w:t>(Lecturers, Professors of Practice, CT Professors)</w:t>
      </w:r>
      <w:r w:rsidR="00C319E4" w:rsidRPr="00293DDE">
        <w:rPr>
          <w:rFonts w:asciiTheme="minorHAnsi" w:hAnsiTheme="minorHAnsi"/>
        </w:rPr>
        <w:t xml:space="preserve"> </w:t>
      </w:r>
      <w:r w:rsidR="00CC4DB3" w:rsidRPr="00293DDE">
        <w:rPr>
          <w:rFonts w:asciiTheme="minorHAnsi" w:hAnsiTheme="minorHAnsi"/>
        </w:rPr>
        <w:t xml:space="preserve">in SBS </w:t>
      </w:r>
      <w:r w:rsidR="000D49D2" w:rsidRPr="00293DDE">
        <w:rPr>
          <w:rFonts w:asciiTheme="minorHAnsi" w:hAnsiTheme="minorHAnsi"/>
        </w:rPr>
        <w:t>should use UA</w:t>
      </w:r>
      <w:r w:rsidR="00CC4DB3" w:rsidRPr="00293DDE">
        <w:rPr>
          <w:rFonts w:asciiTheme="minorHAnsi" w:hAnsiTheme="minorHAnsi"/>
        </w:rPr>
        <w:t xml:space="preserve">Vitae to report annual performance data. </w:t>
      </w:r>
      <w:r w:rsidR="000D49D2" w:rsidRPr="00F5052B">
        <w:rPr>
          <w:rFonts w:asciiTheme="minorHAnsi" w:hAnsiTheme="minorHAnsi"/>
          <w:highlight w:val="yellow"/>
        </w:rPr>
        <w:t xml:space="preserve">Units may elect to permit faculty to submit a brief narrative providing context to activities should </w:t>
      </w:r>
      <w:r w:rsidR="00C319E4" w:rsidRPr="00F5052B">
        <w:rPr>
          <w:rFonts w:asciiTheme="minorHAnsi" w:hAnsiTheme="minorHAnsi"/>
          <w:highlight w:val="yellow"/>
        </w:rPr>
        <w:t>faculty</w:t>
      </w:r>
      <w:r w:rsidR="000D49D2" w:rsidRPr="00F5052B">
        <w:rPr>
          <w:rFonts w:asciiTheme="minorHAnsi" w:hAnsiTheme="minorHAnsi"/>
          <w:highlight w:val="yellow"/>
        </w:rPr>
        <w:t xml:space="preserve"> wish to do so; such narrative could be provided either within or outside of UAVitae</w:t>
      </w:r>
      <w:r w:rsidR="000D49D2" w:rsidRPr="00293DDE">
        <w:rPr>
          <w:rFonts w:asciiTheme="minorHAnsi" w:hAnsiTheme="minorHAnsi"/>
        </w:rPr>
        <w:t>.</w:t>
      </w:r>
      <w:r>
        <w:rPr>
          <w:rFonts w:asciiTheme="minorHAnsi" w:hAnsiTheme="minorHAnsi"/>
        </w:rPr>
        <w:t xml:space="preserve"> ADD THE NEW REQUIREMENTS </w:t>
      </w:r>
    </w:p>
    <w:p w:rsidR="00293DDE" w:rsidRPr="00293DDE" w:rsidRDefault="00293DDE" w:rsidP="00293DDE">
      <w:pPr>
        <w:pStyle w:val="ListParagraph"/>
        <w:spacing w:before="80" w:after="120"/>
        <w:ind w:left="-270"/>
        <w:contextualSpacing w:val="0"/>
        <w:rPr>
          <w:rFonts w:asciiTheme="majorHAnsi" w:hAnsiTheme="majorHAnsi"/>
          <w:b/>
          <w:sz w:val="18"/>
        </w:rPr>
      </w:pPr>
    </w:p>
    <w:p w:rsidR="00CC4DB3" w:rsidRPr="00293DDE" w:rsidRDefault="008F7595" w:rsidP="00293DDE">
      <w:pPr>
        <w:pStyle w:val="ListParagraph"/>
        <w:spacing w:before="80" w:after="120"/>
        <w:ind w:left="-270"/>
        <w:contextualSpacing w:val="0"/>
        <w:rPr>
          <w:rFonts w:asciiTheme="majorHAnsi" w:hAnsiTheme="majorHAnsi"/>
          <w:b/>
        </w:rPr>
      </w:pPr>
      <w:r w:rsidRPr="00293DDE">
        <w:rPr>
          <w:rFonts w:asciiTheme="majorHAnsi" w:hAnsiTheme="majorHAnsi"/>
          <w:b/>
        </w:rPr>
        <w:t>RANKING CATEGORIES</w:t>
      </w:r>
    </w:p>
    <w:p w:rsidR="00CC4DB3" w:rsidRPr="00293DDE" w:rsidRDefault="00CC4DB3" w:rsidP="00293DDE">
      <w:pPr>
        <w:spacing w:before="80" w:after="120"/>
        <w:ind w:left="-270"/>
        <w:rPr>
          <w:rFonts w:asciiTheme="minorHAnsi" w:hAnsiTheme="minorHAnsi"/>
        </w:rPr>
      </w:pPr>
      <w:r w:rsidRPr="00293DDE">
        <w:rPr>
          <w:rFonts w:asciiTheme="minorHAnsi" w:hAnsiTheme="minorHAnsi"/>
        </w:rPr>
        <w:t>All units in SBS should use the following ABOR numbers and labels:</w:t>
      </w:r>
    </w:p>
    <w:p w:rsidR="00CC4DB3" w:rsidRPr="00293DDE" w:rsidRDefault="00CC4DB3" w:rsidP="00293DDE">
      <w:pPr>
        <w:rPr>
          <w:rFonts w:asciiTheme="minorHAnsi" w:hAnsiTheme="minorHAnsi"/>
        </w:rPr>
      </w:pPr>
      <w:r w:rsidRPr="00293DDE">
        <w:rPr>
          <w:rFonts w:asciiTheme="minorHAnsi" w:hAnsiTheme="minorHAnsi"/>
        </w:rPr>
        <w:t xml:space="preserve">   5 </w:t>
      </w:r>
      <w:r w:rsidRPr="00293DDE">
        <w:rPr>
          <w:rFonts w:asciiTheme="minorHAnsi" w:hAnsiTheme="minorHAnsi"/>
        </w:rPr>
        <w:tab/>
        <w:t>Truly Exceptional  </w:t>
      </w:r>
      <w:r w:rsidRPr="00293DDE">
        <w:rPr>
          <w:rFonts w:asciiTheme="minorHAnsi" w:hAnsiTheme="minorHAnsi"/>
        </w:rPr>
        <w:tab/>
      </w:r>
    </w:p>
    <w:p w:rsidR="00CC4DB3" w:rsidRPr="00293DDE" w:rsidRDefault="00CC4DB3" w:rsidP="00293DDE">
      <w:pPr>
        <w:rPr>
          <w:rFonts w:asciiTheme="minorHAnsi" w:hAnsiTheme="minorHAnsi"/>
        </w:rPr>
      </w:pPr>
      <w:r w:rsidRPr="00293DDE">
        <w:rPr>
          <w:rFonts w:asciiTheme="minorHAnsi" w:hAnsiTheme="minorHAnsi"/>
        </w:rPr>
        <w:t xml:space="preserve">   4 </w:t>
      </w:r>
      <w:r w:rsidRPr="00293DDE">
        <w:rPr>
          <w:rFonts w:asciiTheme="minorHAnsi" w:hAnsiTheme="minorHAnsi"/>
        </w:rPr>
        <w:tab/>
        <w:t>Exceeds Expectations  </w:t>
      </w:r>
      <w:r w:rsidRPr="00293DDE">
        <w:rPr>
          <w:rFonts w:asciiTheme="minorHAnsi" w:hAnsiTheme="minorHAnsi"/>
        </w:rPr>
        <w:tab/>
      </w:r>
    </w:p>
    <w:p w:rsidR="00CC4DB3" w:rsidRPr="00293DDE" w:rsidRDefault="00CC4DB3" w:rsidP="00293DDE">
      <w:pPr>
        <w:rPr>
          <w:rFonts w:asciiTheme="minorHAnsi" w:hAnsiTheme="minorHAnsi"/>
        </w:rPr>
      </w:pPr>
      <w:r w:rsidRPr="00293DDE">
        <w:rPr>
          <w:rFonts w:asciiTheme="minorHAnsi" w:hAnsiTheme="minorHAnsi"/>
        </w:rPr>
        <w:t xml:space="preserve">   3 </w:t>
      </w:r>
      <w:r w:rsidRPr="00293DDE">
        <w:rPr>
          <w:rFonts w:asciiTheme="minorHAnsi" w:hAnsiTheme="minorHAnsi"/>
        </w:rPr>
        <w:tab/>
        <w:t xml:space="preserve">Meets Expectations   </w:t>
      </w:r>
      <w:r w:rsidRPr="00293DDE">
        <w:rPr>
          <w:rFonts w:asciiTheme="minorHAnsi" w:hAnsiTheme="minorHAnsi"/>
        </w:rPr>
        <w:tab/>
      </w:r>
    </w:p>
    <w:p w:rsidR="00CC4DB3" w:rsidRPr="00293DDE" w:rsidRDefault="00CC4DB3" w:rsidP="00293DDE">
      <w:pPr>
        <w:rPr>
          <w:rFonts w:asciiTheme="minorHAnsi" w:hAnsiTheme="minorHAnsi"/>
        </w:rPr>
      </w:pPr>
      <w:r w:rsidRPr="00293DDE">
        <w:rPr>
          <w:rFonts w:asciiTheme="minorHAnsi" w:hAnsiTheme="minorHAnsi"/>
        </w:rPr>
        <w:t xml:space="preserve">   2 </w:t>
      </w:r>
      <w:r w:rsidRPr="00293DDE">
        <w:rPr>
          <w:rFonts w:asciiTheme="minorHAnsi" w:hAnsiTheme="minorHAnsi"/>
        </w:rPr>
        <w:tab/>
        <w:t xml:space="preserve">Needs Improvement    </w:t>
      </w:r>
      <w:r w:rsidRPr="00293DDE">
        <w:rPr>
          <w:rFonts w:asciiTheme="minorHAnsi" w:hAnsiTheme="minorHAnsi"/>
        </w:rPr>
        <w:tab/>
      </w:r>
    </w:p>
    <w:p w:rsidR="00CC4DB3" w:rsidRPr="00293DDE" w:rsidRDefault="00CC4DB3" w:rsidP="00293DDE">
      <w:pPr>
        <w:rPr>
          <w:rFonts w:asciiTheme="minorHAnsi" w:hAnsiTheme="minorHAnsi"/>
          <w:sz w:val="18"/>
        </w:rPr>
      </w:pPr>
      <w:r w:rsidRPr="00293DDE">
        <w:rPr>
          <w:rFonts w:asciiTheme="minorHAnsi" w:hAnsiTheme="minorHAnsi"/>
        </w:rPr>
        <w:t xml:space="preserve">   1 </w:t>
      </w:r>
      <w:r w:rsidRPr="00293DDE">
        <w:rPr>
          <w:rFonts w:asciiTheme="minorHAnsi" w:hAnsiTheme="minorHAnsi"/>
        </w:rPr>
        <w:tab/>
        <w:t>Unsatisfactory</w:t>
      </w:r>
      <w:r w:rsidR="006B7AF0" w:rsidRPr="00293DDE">
        <w:rPr>
          <w:rFonts w:asciiTheme="minorHAnsi" w:hAnsiTheme="minorHAnsi"/>
        </w:rPr>
        <w:br/>
      </w:r>
    </w:p>
    <w:p w:rsidR="006B7AF0" w:rsidRPr="00293DDE" w:rsidRDefault="00CC4DB3" w:rsidP="00293DDE">
      <w:pPr>
        <w:spacing w:before="80"/>
        <w:ind w:left="-270"/>
        <w:rPr>
          <w:rFonts w:asciiTheme="minorHAnsi" w:hAnsiTheme="minorHAnsi"/>
          <w:sz w:val="18"/>
        </w:rPr>
      </w:pPr>
      <w:r w:rsidRPr="00293DDE">
        <w:rPr>
          <w:rFonts w:asciiTheme="minorHAnsi" w:hAnsiTheme="minorHAnsi"/>
        </w:rPr>
        <w:t xml:space="preserve">UHAP Chapter 3 requires specific action based on an “Unsatisfactory” rating in any one category, making adoption of the specific ABOR ranking language important. </w:t>
      </w:r>
      <w:r w:rsidR="000D49D2" w:rsidRPr="00293DDE">
        <w:rPr>
          <w:rFonts w:asciiTheme="minorHAnsi" w:hAnsiTheme="minorHAnsi"/>
        </w:rPr>
        <w:t xml:space="preserve">UHAP also specifies that reviews consider performance over a 3-5 year window; the length of the window should be determined at </w:t>
      </w:r>
      <w:r w:rsidR="00C319E4" w:rsidRPr="00293DDE">
        <w:rPr>
          <w:rFonts w:asciiTheme="minorHAnsi" w:hAnsiTheme="minorHAnsi"/>
        </w:rPr>
        <w:t xml:space="preserve">the </w:t>
      </w:r>
      <w:r w:rsidR="000D49D2" w:rsidRPr="00293DDE">
        <w:rPr>
          <w:rFonts w:asciiTheme="minorHAnsi" w:hAnsiTheme="minorHAnsi"/>
        </w:rPr>
        <w:t xml:space="preserve">unit level based on departmental culture and disciplinary norms. </w:t>
      </w:r>
      <w:r w:rsidR="008F7595" w:rsidRPr="00293DDE">
        <w:rPr>
          <w:rFonts w:asciiTheme="minorHAnsi" w:hAnsiTheme="minorHAnsi"/>
        </w:rPr>
        <w:br/>
      </w:r>
    </w:p>
    <w:p w:rsidR="00891210" w:rsidRPr="00293DDE" w:rsidRDefault="008F7595" w:rsidP="00293DDE">
      <w:pPr>
        <w:spacing w:before="80" w:after="120"/>
        <w:ind w:left="-270"/>
        <w:rPr>
          <w:rFonts w:asciiTheme="majorHAnsi" w:hAnsiTheme="majorHAnsi"/>
          <w:b/>
        </w:rPr>
      </w:pPr>
      <w:r w:rsidRPr="00293DDE">
        <w:rPr>
          <w:rFonts w:asciiTheme="majorHAnsi" w:hAnsiTheme="majorHAnsi"/>
          <w:b/>
        </w:rPr>
        <w:t>DISTRIBUTION OF EFFORT</w:t>
      </w:r>
    </w:p>
    <w:p w:rsidR="008F7595" w:rsidRPr="00293DDE" w:rsidRDefault="00891210" w:rsidP="00293DDE">
      <w:pPr>
        <w:spacing w:before="80" w:after="120"/>
        <w:ind w:left="-270"/>
        <w:rPr>
          <w:rFonts w:asciiTheme="majorHAnsi" w:hAnsiTheme="majorHAnsi"/>
          <w:b/>
        </w:rPr>
      </w:pPr>
      <w:r w:rsidRPr="00293DDE">
        <w:rPr>
          <w:rFonts w:asciiTheme="minorHAnsi" w:hAnsiTheme="minorHAnsi"/>
        </w:rPr>
        <w:t xml:space="preserve">Unless prior permission is given, SBS defines one course as 10% effort, regardless of FTE or workload distribution. </w:t>
      </w:r>
    </w:p>
    <w:p w:rsidR="00F5052B" w:rsidRDefault="00F5052B">
      <w:pPr>
        <w:rPr>
          <w:rFonts w:ascii="Cambria" w:eastAsia="Times New Roman" w:hAnsi="Cambria" w:cs="Times New Roman"/>
          <w:b/>
        </w:rPr>
      </w:pPr>
      <w:r>
        <w:rPr>
          <w:rFonts w:ascii="Cambria" w:eastAsia="Times New Roman" w:hAnsi="Cambria" w:cs="Times New Roman"/>
          <w:b/>
        </w:rPr>
        <w:lastRenderedPageBreak/>
        <w:br w:type="page"/>
      </w:r>
    </w:p>
    <w:p w:rsidR="00891210" w:rsidRPr="00293DDE" w:rsidRDefault="008F7595" w:rsidP="00293DDE">
      <w:pPr>
        <w:spacing w:before="80" w:after="120"/>
        <w:ind w:left="-270"/>
        <w:rPr>
          <w:rFonts w:ascii="Cambria" w:eastAsia="Times New Roman" w:hAnsi="Cambria" w:cs="Times New Roman"/>
          <w:b/>
        </w:rPr>
      </w:pPr>
      <w:r w:rsidRPr="00293DDE">
        <w:rPr>
          <w:rFonts w:ascii="Cambria" w:eastAsia="Times New Roman" w:hAnsi="Cambria" w:cs="Times New Roman"/>
          <w:b/>
        </w:rPr>
        <w:t>DEADLINES</w:t>
      </w:r>
    </w:p>
    <w:p w:rsidR="00891210" w:rsidRPr="00293DDE" w:rsidRDefault="00891210" w:rsidP="00293DDE">
      <w:pPr>
        <w:spacing w:before="80" w:after="120"/>
        <w:ind w:left="-270"/>
        <w:rPr>
          <w:rFonts w:ascii="Calibri" w:eastAsia="Times New Roman" w:hAnsi="Calibri" w:cs="Times New Roman"/>
          <w:sz w:val="20"/>
        </w:rPr>
      </w:pPr>
      <w:r w:rsidRPr="00293DDE">
        <w:rPr>
          <w:rFonts w:ascii="Calibri" w:eastAsia="Times New Roman" w:hAnsi="Calibri" w:cs="Times New Roman"/>
        </w:rPr>
        <w:t>The deadlines are established by the unit’s head.  SBS has not established a college-wide deadline for these submissions.  Instead, we adhere to the UHAP guideline which states that the head’s written evaluation should ideally be shared with the faculty member involved no later than the end of March.  Please schedule departmental requirements in order to meet this deadline.</w:t>
      </w:r>
      <w:r w:rsidR="008F7595" w:rsidRPr="00293DDE">
        <w:rPr>
          <w:rFonts w:ascii="Calibri" w:eastAsia="Times New Roman" w:hAnsi="Calibri" w:cs="Times New Roman"/>
        </w:rPr>
        <w:br/>
      </w:r>
    </w:p>
    <w:p w:rsidR="00C9112B" w:rsidRPr="00293DDE" w:rsidRDefault="008F7595" w:rsidP="00293DDE">
      <w:pPr>
        <w:spacing w:before="80" w:after="120"/>
        <w:ind w:hanging="274"/>
        <w:rPr>
          <w:rFonts w:asciiTheme="majorHAnsi" w:hAnsiTheme="majorHAnsi"/>
          <w:b/>
        </w:rPr>
      </w:pPr>
      <w:r w:rsidRPr="00293DDE">
        <w:rPr>
          <w:rFonts w:asciiTheme="majorHAnsi" w:hAnsiTheme="majorHAnsi"/>
          <w:b/>
        </w:rPr>
        <w:t>PEER EVALUATION COMPONENT OF REVIEWS</w:t>
      </w:r>
    </w:p>
    <w:p w:rsidR="00891210" w:rsidRPr="00293DDE" w:rsidRDefault="00C9112B" w:rsidP="00293DDE">
      <w:pPr>
        <w:spacing w:before="80" w:after="120"/>
        <w:ind w:left="-270"/>
        <w:rPr>
          <w:rFonts w:asciiTheme="majorHAnsi" w:hAnsiTheme="majorHAnsi"/>
          <w:b/>
          <w:i/>
          <w:sz w:val="20"/>
        </w:rPr>
      </w:pPr>
      <w:r w:rsidRPr="00293DDE">
        <w:rPr>
          <w:rFonts w:asciiTheme="minorHAnsi" w:hAnsiTheme="minorHAnsi"/>
        </w:rPr>
        <w:t>In all cases, peer evaluation scores and comments are intended to be advisory to the unit Head/Director, who assigns a final score.</w:t>
      </w:r>
      <w:r w:rsidR="0058158F" w:rsidRPr="00293DDE">
        <w:rPr>
          <w:rFonts w:asciiTheme="minorHAnsi" w:hAnsiTheme="minorHAnsi"/>
        </w:rPr>
        <w:t xml:space="preserve"> UHAP makes clear that committee scores and comments are confidential.</w:t>
      </w:r>
      <w:r w:rsidR="008F7595" w:rsidRPr="00293DDE">
        <w:rPr>
          <w:rFonts w:asciiTheme="majorHAnsi" w:hAnsiTheme="majorHAnsi"/>
          <w:b/>
          <w:i/>
        </w:rPr>
        <w:br/>
      </w:r>
    </w:p>
    <w:p w:rsidR="00891210" w:rsidRPr="00293DDE" w:rsidRDefault="001E15E9" w:rsidP="00293DDE">
      <w:pPr>
        <w:spacing w:before="80" w:after="120"/>
        <w:ind w:hanging="274"/>
        <w:rPr>
          <w:rFonts w:ascii="Cambria" w:eastAsia="Calibri" w:hAnsi="Cambria" w:cs="Times New Roman"/>
          <w:b/>
        </w:rPr>
      </w:pPr>
      <w:r>
        <w:rPr>
          <w:rFonts w:ascii="Cambria" w:eastAsia="Calibri" w:hAnsi="Cambria" w:cs="Times New Roman"/>
          <w:b/>
        </w:rPr>
        <w:t>SPECIAL CASES</w:t>
      </w:r>
    </w:p>
    <w:p w:rsidR="00891210" w:rsidRPr="00293DDE" w:rsidRDefault="00891210" w:rsidP="001E15E9">
      <w:pPr>
        <w:numPr>
          <w:ilvl w:val="0"/>
          <w:numId w:val="6"/>
        </w:numPr>
        <w:spacing w:before="80" w:after="120"/>
        <w:ind w:left="180"/>
        <w:rPr>
          <w:rFonts w:ascii="Calibri" w:eastAsia="Times New Roman" w:hAnsi="Calibri" w:cs="Times New Roman"/>
          <w:i/>
        </w:rPr>
      </w:pPr>
      <w:r w:rsidRPr="00293DDE">
        <w:rPr>
          <w:rFonts w:ascii="Calibri" w:eastAsia="Times New Roman" w:hAnsi="Calibri" w:cs="Times New Roman"/>
          <w:i/>
        </w:rPr>
        <w:t>Joint Appointments</w:t>
      </w:r>
    </w:p>
    <w:p w:rsidR="00891210" w:rsidRPr="00293DDE" w:rsidRDefault="00891210" w:rsidP="00293DDE">
      <w:pPr>
        <w:spacing w:before="80" w:after="120"/>
        <w:ind w:left="-180"/>
        <w:rPr>
          <w:rFonts w:ascii="Calibri" w:eastAsia="Times New Roman" w:hAnsi="Calibri" w:cs="Times New Roman"/>
        </w:rPr>
      </w:pPr>
      <w:r w:rsidRPr="00293DDE">
        <w:rPr>
          <w:rFonts w:ascii="Calibri" w:eastAsia="Times New Roman" w:hAnsi="Calibri" w:cs="Times New Roman"/>
        </w:rPr>
        <w:t>Normally, faculty who belong to more than one unit will be reviewed on those components of their effort that apply to each unit (please consult the relevant shared appointment form). This may require consultation between the relevant Heads and Directors, a separate report from the secondary unit, and</w:t>
      </w:r>
      <w:r w:rsidR="001E15E9">
        <w:rPr>
          <w:rFonts w:ascii="Calibri" w:eastAsia="Times New Roman" w:hAnsi="Calibri" w:cs="Times New Roman"/>
        </w:rPr>
        <w:t>/or ad hoc representation from the</w:t>
      </w:r>
      <w:r w:rsidRPr="00293DDE">
        <w:rPr>
          <w:rFonts w:ascii="Calibri" w:eastAsia="Times New Roman" w:hAnsi="Calibri" w:cs="Times New Roman"/>
        </w:rPr>
        <w:t xml:space="preserve"> secondary unit on the primary unit’s committee.  UA Vitae advancements will enable simplified and more inclusive processes for those with shared appointments</w:t>
      </w:r>
      <w:r w:rsidR="008F7595" w:rsidRPr="00293DDE">
        <w:rPr>
          <w:rFonts w:ascii="Calibri" w:eastAsia="Times New Roman" w:hAnsi="Calibri" w:cs="Times New Roman"/>
        </w:rPr>
        <w:t xml:space="preserve"> in future.</w:t>
      </w:r>
      <w:r w:rsidRPr="00293DDE">
        <w:rPr>
          <w:rFonts w:ascii="Calibri" w:eastAsia="Times New Roman" w:hAnsi="Calibri" w:cs="Times New Roman"/>
        </w:rPr>
        <w:t xml:space="preserve">  </w:t>
      </w:r>
    </w:p>
    <w:p w:rsidR="00891210" w:rsidRPr="00293DDE" w:rsidRDefault="001E15E9" w:rsidP="001E15E9">
      <w:pPr>
        <w:numPr>
          <w:ilvl w:val="0"/>
          <w:numId w:val="6"/>
        </w:numPr>
        <w:spacing w:before="80" w:after="120"/>
        <w:ind w:left="180"/>
        <w:rPr>
          <w:rFonts w:ascii="Calibri" w:eastAsia="Calibri" w:hAnsi="Calibri" w:cs="Times New Roman"/>
          <w:i/>
        </w:rPr>
      </w:pPr>
      <w:r>
        <w:rPr>
          <w:rFonts w:ascii="Calibri" w:eastAsia="Calibri" w:hAnsi="Calibri" w:cs="Times New Roman"/>
          <w:i/>
        </w:rPr>
        <w:t xml:space="preserve">Renewal for </w:t>
      </w:r>
      <w:r w:rsidR="00F5052B">
        <w:rPr>
          <w:rFonts w:ascii="Calibri" w:eastAsia="Calibri" w:hAnsi="Calibri" w:cs="Times New Roman"/>
          <w:i/>
        </w:rPr>
        <w:t>Career Track</w:t>
      </w:r>
      <w:r>
        <w:rPr>
          <w:rFonts w:ascii="Calibri" w:eastAsia="Calibri" w:hAnsi="Calibri" w:cs="Times New Roman"/>
          <w:i/>
        </w:rPr>
        <w:t xml:space="preserve"> Faculty on Multi-Year A</w:t>
      </w:r>
      <w:r w:rsidR="00891210" w:rsidRPr="00293DDE">
        <w:rPr>
          <w:rFonts w:ascii="Calibri" w:eastAsia="Calibri" w:hAnsi="Calibri" w:cs="Times New Roman"/>
          <w:i/>
        </w:rPr>
        <w:t>ppointments</w:t>
      </w:r>
    </w:p>
    <w:p w:rsidR="00891210" w:rsidRPr="00293DDE" w:rsidRDefault="00891210" w:rsidP="00293DDE">
      <w:pPr>
        <w:spacing w:before="80" w:after="120"/>
        <w:ind w:left="-180"/>
        <w:rPr>
          <w:rFonts w:ascii="Calibri" w:eastAsia="Calibri" w:hAnsi="Calibri" w:cs="Times New Roman"/>
        </w:rPr>
      </w:pPr>
      <w:r w:rsidRPr="00293DDE">
        <w:rPr>
          <w:rFonts w:ascii="Calibri" w:eastAsia="Calibri" w:hAnsi="Calibri" w:cs="Times New Roman"/>
        </w:rPr>
        <w:t>The contract period (1-3 years) is stipulated at the time of appointment. For faculty in the final year of their appointment, the unit may request a renewal by submitting a request along with a summary statement of the annual review packets completed during the contract period. The College will utilize annual reviews as well as reference to the current budget situation to determine whether to renew the contract.</w:t>
      </w:r>
    </w:p>
    <w:p w:rsidR="00891210" w:rsidRPr="00293DDE" w:rsidRDefault="00891210" w:rsidP="001E15E9">
      <w:pPr>
        <w:numPr>
          <w:ilvl w:val="0"/>
          <w:numId w:val="6"/>
        </w:numPr>
        <w:spacing w:before="80" w:after="120"/>
        <w:ind w:left="180"/>
        <w:rPr>
          <w:rFonts w:ascii="Calibri" w:eastAsia="Calibri" w:hAnsi="Calibri" w:cs="Times New Roman"/>
        </w:rPr>
      </w:pPr>
      <w:r w:rsidRPr="00293DDE">
        <w:rPr>
          <w:rFonts w:ascii="Calibri" w:eastAsia="Calibri" w:hAnsi="Calibri" w:cs="Times New Roman"/>
          <w:i/>
        </w:rPr>
        <w:t>Heads and Directors</w:t>
      </w:r>
    </w:p>
    <w:p w:rsidR="008F7595" w:rsidRPr="00293DDE" w:rsidRDefault="00891210" w:rsidP="00293DDE">
      <w:pPr>
        <w:spacing w:before="80" w:after="120"/>
        <w:ind w:left="-180"/>
        <w:rPr>
          <w:rFonts w:ascii="Calibri" w:eastAsia="Calibri" w:hAnsi="Calibri" w:cs="Times New Roman"/>
          <w:sz w:val="20"/>
        </w:rPr>
      </w:pPr>
      <w:r w:rsidRPr="00293DDE">
        <w:rPr>
          <w:rFonts w:ascii="Calibri" w:eastAsia="Calibri" w:hAnsi="Calibri" w:cs="Times New Roman"/>
        </w:rPr>
        <w:t xml:space="preserve">All unit Heads/Directors must complete UA Vitae for the areas of teaching, research, and non-administrative service (typically </w:t>
      </w:r>
      <w:r w:rsidR="00F5052B">
        <w:rPr>
          <w:rFonts w:ascii="Calibri" w:eastAsia="Calibri" w:hAnsi="Calibri" w:cs="Times New Roman"/>
        </w:rPr>
        <w:t>4</w:t>
      </w:r>
      <w:r w:rsidRPr="00293DDE">
        <w:rPr>
          <w:rFonts w:ascii="Calibri" w:eastAsia="Calibri" w:hAnsi="Calibri" w:cs="Times New Roman"/>
        </w:rPr>
        <w:t>0% of workload</w:t>
      </w:r>
      <w:r w:rsidR="00F5052B">
        <w:rPr>
          <w:rFonts w:ascii="Calibri" w:eastAsia="Calibri" w:hAnsi="Calibri" w:cs="Times New Roman"/>
        </w:rPr>
        <w:t xml:space="preserve"> – 10% Teaching, 20% Research, 10% non-administrative service</w:t>
      </w:r>
      <w:r w:rsidRPr="00293DDE">
        <w:rPr>
          <w:rFonts w:ascii="Calibri" w:eastAsia="Calibri" w:hAnsi="Calibri" w:cs="Times New Roman"/>
        </w:rPr>
        <w:t xml:space="preserve">).  These are evaluated by your unit’s annual performance review committee, with results submitted directly the Dean’s office. In addition, all H/Ds complete the annual Administrative Assessment Report covering your activities as leaders in your units (typically the other </w:t>
      </w:r>
      <w:r w:rsidR="00F5052B">
        <w:rPr>
          <w:rFonts w:ascii="Calibri" w:eastAsia="Calibri" w:hAnsi="Calibri" w:cs="Times New Roman"/>
        </w:rPr>
        <w:t>60%</w:t>
      </w:r>
      <w:r w:rsidRPr="00293DDE">
        <w:rPr>
          <w:rFonts w:ascii="Calibri" w:eastAsia="Calibri" w:hAnsi="Calibri" w:cs="Times New Roman"/>
        </w:rPr>
        <w:t xml:space="preserve"> of the H/D workload).  </w:t>
      </w:r>
      <w:r w:rsidR="008F7595" w:rsidRPr="00293DDE">
        <w:rPr>
          <w:rFonts w:ascii="Calibri" w:eastAsia="Calibri" w:hAnsi="Calibri" w:cs="Times New Roman"/>
        </w:rPr>
        <w:br/>
      </w:r>
    </w:p>
    <w:p w:rsidR="00CF1FF8" w:rsidRPr="00293DDE" w:rsidRDefault="008F7595" w:rsidP="00293DDE">
      <w:pPr>
        <w:spacing w:before="80" w:after="120"/>
        <w:ind w:left="-270"/>
        <w:rPr>
          <w:rFonts w:asciiTheme="majorHAnsi" w:hAnsiTheme="majorHAnsi"/>
          <w:b/>
        </w:rPr>
      </w:pPr>
      <w:r w:rsidRPr="00293DDE">
        <w:rPr>
          <w:rFonts w:asciiTheme="majorHAnsi" w:hAnsiTheme="majorHAnsi"/>
          <w:b/>
        </w:rPr>
        <w:t>OTHER CONSIDERATIONS</w:t>
      </w:r>
    </w:p>
    <w:p w:rsidR="007F1580" w:rsidRDefault="000D49D2" w:rsidP="001E15E9">
      <w:pPr>
        <w:pStyle w:val="ListParagraph"/>
        <w:numPr>
          <w:ilvl w:val="0"/>
          <w:numId w:val="4"/>
        </w:numPr>
        <w:spacing w:before="80" w:after="120"/>
        <w:ind w:left="180" w:hanging="270"/>
        <w:contextualSpacing w:val="0"/>
        <w:rPr>
          <w:rFonts w:asciiTheme="minorHAnsi" w:hAnsiTheme="minorHAnsi" w:cstheme="minorHAnsi"/>
        </w:rPr>
      </w:pPr>
      <w:r w:rsidRPr="00293DDE">
        <w:rPr>
          <w:rFonts w:asciiTheme="minorHAnsi" w:hAnsiTheme="minorHAnsi" w:cstheme="minorHAnsi"/>
        </w:rPr>
        <w:t xml:space="preserve">Unit performance review criteria should </w:t>
      </w:r>
      <w:r w:rsidR="007F1580" w:rsidRPr="00293DDE">
        <w:rPr>
          <w:rFonts w:asciiTheme="minorHAnsi" w:hAnsiTheme="minorHAnsi" w:cstheme="minorHAnsi"/>
        </w:rPr>
        <w:t>indicate</w:t>
      </w:r>
      <w:r w:rsidRPr="00293DDE">
        <w:rPr>
          <w:rFonts w:asciiTheme="minorHAnsi" w:hAnsiTheme="minorHAnsi" w:cstheme="minorHAnsi"/>
        </w:rPr>
        <w:t xml:space="preserve"> how works in progress</w:t>
      </w:r>
      <w:r w:rsidR="007F1580" w:rsidRPr="00293DDE">
        <w:rPr>
          <w:rFonts w:asciiTheme="minorHAnsi" w:hAnsiTheme="minorHAnsi" w:cstheme="minorHAnsi"/>
        </w:rPr>
        <w:t xml:space="preserve"> are accounted for</w:t>
      </w:r>
      <w:r w:rsidR="007C2890">
        <w:rPr>
          <w:rFonts w:asciiTheme="minorHAnsi" w:hAnsiTheme="minorHAnsi" w:cstheme="minorHAnsi"/>
        </w:rPr>
        <w:t>.</w:t>
      </w:r>
    </w:p>
    <w:p w:rsidR="00F5052B" w:rsidRDefault="00F5052B" w:rsidP="001E15E9">
      <w:pPr>
        <w:pStyle w:val="ListParagraph"/>
        <w:numPr>
          <w:ilvl w:val="0"/>
          <w:numId w:val="4"/>
        </w:numPr>
        <w:spacing w:before="80" w:after="120"/>
        <w:ind w:left="180" w:hanging="270"/>
        <w:contextualSpacing w:val="0"/>
        <w:rPr>
          <w:rFonts w:asciiTheme="minorHAnsi" w:hAnsiTheme="minorHAnsi" w:cstheme="minorHAnsi"/>
        </w:rPr>
      </w:pPr>
      <w:r>
        <w:rPr>
          <w:rFonts w:asciiTheme="minorHAnsi" w:hAnsiTheme="minorHAnsi" w:cstheme="minorHAnsi"/>
        </w:rPr>
        <w:t>Junior faculty:</w:t>
      </w:r>
    </w:p>
    <w:p w:rsidR="00F5052B" w:rsidRPr="00293DDE" w:rsidRDefault="00F5052B" w:rsidP="001E15E9">
      <w:pPr>
        <w:pStyle w:val="ListParagraph"/>
        <w:numPr>
          <w:ilvl w:val="0"/>
          <w:numId w:val="4"/>
        </w:numPr>
        <w:spacing w:before="80" w:after="120"/>
        <w:ind w:left="180" w:hanging="270"/>
        <w:contextualSpacing w:val="0"/>
        <w:rPr>
          <w:rFonts w:asciiTheme="minorHAnsi" w:hAnsiTheme="minorHAnsi" w:cstheme="minorHAnsi"/>
        </w:rPr>
      </w:pPr>
      <w:r>
        <w:rPr>
          <w:rFonts w:asciiTheme="minorHAnsi" w:hAnsiTheme="minorHAnsi" w:cstheme="minorHAnsi"/>
        </w:rPr>
        <w:t>Scores of 3 or below in any category</w:t>
      </w:r>
      <w:bookmarkStart w:id="0" w:name="_GoBack"/>
      <w:bookmarkEnd w:id="0"/>
    </w:p>
    <w:p w:rsidR="00764CFE" w:rsidRPr="00F5052B" w:rsidRDefault="007F1580" w:rsidP="001E15E9">
      <w:pPr>
        <w:pStyle w:val="ListParagraph"/>
        <w:numPr>
          <w:ilvl w:val="0"/>
          <w:numId w:val="4"/>
        </w:numPr>
        <w:spacing w:before="80" w:after="120"/>
        <w:ind w:left="180" w:hanging="270"/>
        <w:contextualSpacing w:val="0"/>
        <w:rPr>
          <w:rFonts w:asciiTheme="minorHAnsi" w:hAnsiTheme="minorHAnsi" w:cstheme="minorHAnsi"/>
          <w:highlight w:val="yellow"/>
        </w:rPr>
      </w:pPr>
      <w:r w:rsidRPr="00F5052B">
        <w:rPr>
          <w:rFonts w:asciiTheme="minorHAnsi" w:hAnsiTheme="minorHAnsi" w:cstheme="minorHAnsi"/>
          <w:highlight w:val="yellow"/>
        </w:rPr>
        <w:t xml:space="preserve">Unit leaders should provide faculty members </w:t>
      </w:r>
      <w:r w:rsidR="008F7595" w:rsidRPr="00F5052B">
        <w:rPr>
          <w:rFonts w:asciiTheme="minorHAnsi" w:hAnsiTheme="minorHAnsi" w:cstheme="minorHAnsi"/>
          <w:highlight w:val="yellow"/>
        </w:rPr>
        <w:t>both</w:t>
      </w:r>
      <w:r w:rsidRPr="00F5052B">
        <w:rPr>
          <w:rFonts w:asciiTheme="minorHAnsi" w:hAnsiTheme="minorHAnsi" w:cstheme="minorHAnsi"/>
          <w:highlight w:val="yellow"/>
        </w:rPr>
        <w:t xml:space="preserve"> formative</w:t>
      </w:r>
      <w:r w:rsidR="008F7595" w:rsidRPr="00F5052B">
        <w:rPr>
          <w:rFonts w:asciiTheme="minorHAnsi" w:hAnsiTheme="minorHAnsi" w:cstheme="minorHAnsi"/>
          <w:highlight w:val="yellow"/>
        </w:rPr>
        <w:t xml:space="preserve"> and summative</w:t>
      </w:r>
      <w:r w:rsidRPr="00F5052B">
        <w:rPr>
          <w:rFonts w:asciiTheme="minorHAnsi" w:hAnsiTheme="minorHAnsi" w:cstheme="minorHAnsi"/>
          <w:highlight w:val="yellow"/>
        </w:rPr>
        <w:t xml:space="preserve"> feedback, </w:t>
      </w:r>
      <w:r w:rsidR="00C319E4" w:rsidRPr="00F5052B">
        <w:rPr>
          <w:rFonts w:asciiTheme="minorHAnsi" w:hAnsiTheme="minorHAnsi" w:cstheme="minorHAnsi"/>
          <w:highlight w:val="yellow"/>
        </w:rPr>
        <w:t xml:space="preserve">including </w:t>
      </w:r>
      <w:r w:rsidRPr="00F5052B">
        <w:rPr>
          <w:rFonts w:asciiTheme="minorHAnsi" w:hAnsiTheme="minorHAnsi" w:cstheme="minorHAnsi"/>
          <w:highlight w:val="yellow"/>
        </w:rPr>
        <w:t xml:space="preserve">how </w:t>
      </w:r>
      <w:r w:rsidR="00C319E4" w:rsidRPr="00F5052B">
        <w:rPr>
          <w:rFonts w:asciiTheme="minorHAnsi" w:hAnsiTheme="minorHAnsi" w:cstheme="minorHAnsi"/>
          <w:highlight w:val="yellow"/>
        </w:rPr>
        <w:t>faculty</w:t>
      </w:r>
      <w:r w:rsidRPr="00F5052B">
        <w:rPr>
          <w:rFonts w:asciiTheme="minorHAnsi" w:hAnsiTheme="minorHAnsi" w:cstheme="minorHAnsi"/>
          <w:highlight w:val="yellow"/>
        </w:rPr>
        <w:t xml:space="preserve"> scores</w:t>
      </w:r>
      <w:r w:rsidR="00C319E4" w:rsidRPr="00F5052B">
        <w:rPr>
          <w:rFonts w:asciiTheme="minorHAnsi" w:hAnsiTheme="minorHAnsi" w:cstheme="minorHAnsi"/>
          <w:highlight w:val="yellow"/>
        </w:rPr>
        <w:t xml:space="preserve"> (both by area and cumulative)</w:t>
      </w:r>
      <w:r w:rsidRPr="00F5052B">
        <w:rPr>
          <w:rFonts w:asciiTheme="minorHAnsi" w:hAnsiTheme="minorHAnsi" w:cstheme="minorHAnsi"/>
          <w:highlight w:val="yellow"/>
        </w:rPr>
        <w:t xml:space="preserve"> were de</w:t>
      </w:r>
      <w:r w:rsidR="00891210" w:rsidRPr="00F5052B">
        <w:rPr>
          <w:rFonts w:asciiTheme="minorHAnsi" w:hAnsiTheme="minorHAnsi" w:cstheme="minorHAnsi"/>
          <w:highlight w:val="yellow"/>
        </w:rPr>
        <w:t>rived</w:t>
      </w:r>
      <w:r w:rsidR="008F7595" w:rsidRPr="00F5052B">
        <w:rPr>
          <w:rFonts w:asciiTheme="minorHAnsi" w:hAnsiTheme="minorHAnsi" w:cstheme="minorHAnsi"/>
          <w:highlight w:val="yellow"/>
        </w:rPr>
        <w:t>. A separate assessment of progress toward P&amp;T/CS&amp;P, written by the Head/Director, should attend all annual performance evaluations for probationary faculty.</w:t>
      </w:r>
    </w:p>
    <w:sectPr w:rsidR="00764CFE" w:rsidRPr="00F5052B" w:rsidSect="00293DDE">
      <w:headerReference w:type="default" r:id="rId7"/>
      <w:pgSz w:w="12240" w:h="15840"/>
      <w:pgMar w:top="1440" w:right="99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F9D" w:rsidRDefault="00EE7F9D" w:rsidP="00EE7F9D">
      <w:r>
        <w:separator/>
      </w:r>
    </w:p>
  </w:endnote>
  <w:endnote w:type="continuationSeparator" w:id="0">
    <w:p w:rsidR="00EE7F9D" w:rsidRDefault="00EE7F9D" w:rsidP="00EE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deal Sans Semi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F9D" w:rsidRDefault="00EE7F9D" w:rsidP="00EE7F9D">
      <w:r>
        <w:separator/>
      </w:r>
    </w:p>
  </w:footnote>
  <w:footnote w:type="continuationSeparator" w:id="0">
    <w:p w:rsidR="00EE7F9D" w:rsidRDefault="00EE7F9D" w:rsidP="00EE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9D" w:rsidRDefault="001E15E9" w:rsidP="00EE7F9D">
    <w:pPr>
      <w:pStyle w:val="Header"/>
      <w:ind w:left="-360"/>
    </w:pPr>
    <w:r>
      <w:rPr>
        <w:noProof/>
      </w:rPr>
      <w:drawing>
        <wp:inline distT="0" distB="0" distL="0" distR="0" wp14:anchorId="55473852" wp14:editId="28488299">
          <wp:extent cx="6507480" cy="781801"/>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8407" cy="7855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BB6"/>
    <w:multiLevelType w:val="hybridMultilevel"/>
    <w:tmpl w:val="C930E498"/>
    <w:lvl w:ilvl="0" w:tplc="04090001">
      <w:start w:val="1"/>
      <w:numFmt w:val="bullet"/>
      <w:lvlText w:val=""/>
      <w:lvlJc w:val="left"/>
      <w:pPr>
        <w:ind w:left="720" w:hanging="360"/>
      </w:pPr>
      <w:rPr>
        <w:rFonts w:ascii="Symbol" w:hAnsi="Symbol" w:hint="default"/>
        <w:i w:val="0"/>
      </w:rPr>
    </w:lvl>
    <w:lvl w:ilvl="1" w:tplc="8C007CA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E7BB4"/>
    <w:multiLevelType w:val="hybridMultilevel"/>
    <w:tmpl w:val="161C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42558"/>
    <w:multiLevelType w:val="hybridMultilevel"/>
    <w:tmpl w:val="C37AD3DA"/>
    <w:lvl w:ilvl="0" w:tplc="01E86E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721F4"/>
    <w:multiLevelType w:val="hybridMultilevel"/>
    <w:tmpl w:val="7696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C7864"/>
    <w:multiLevelType w:val="hybridMultilevel"/>
    <w:tmpl w:val="35240254"/>
    <w:lvl w:ilvl="0" w:tplc="C6E83F2E">
      <w:start w:val="1"/>
      <w:numFmt w:val="decimal"/>
      <w:lvlText w:val="%1."/>
      <w:lvlJc w:val="left"/>
      <w:pPr>
        <w:ind w:left="720" w:hanging="360"/>
      </w:pPr>
      <w:rPr>
        <w:b w:val="0"/>
        <w: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145D62"/>
    <w:multiLevelType w:val="hybridMultilevel"/>
    <w:tmpl w:val="B042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F6DC4"/>
    <w:multiLevelType w:val="hybridMultilevel"/>
    <w:tmpl w:val="A6FA784C"/>
    <w:lvl w:ilvl="0" w:tplc="75420062">
      <w:start w:val="1"/>
      <w:numFmt w:val="decimal"/>
      <w:lvlText w:val="(%1)"/>
      <w:lvlJc w:val="left"/>
      <w:pPr>
        <w:ind w:left="720" w:hanging="360"/>
      </w:pPr>
      <w:rPr>
        <w:rFonts w:hint="default"/>
        <w:i w:val="0"/>
      </w:rPr>
    </w:lvl>
    <w:lvl w:ilvl="1" w:tplc="8C007CA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FE"/>
    <w:rsid w:val="000D49D2"/>
    <w:rsid w:val="00121A52"/>
    <w:rsid w:val="0018016F"/>
    <w:rsid w:val="001C2235"/>
    <w:rsid w:val="001E15E9"/>
    <w:rsid w:val="001F215B"/>
    <w:rsid w:val="00211DEE"/>
    <w:rsid w:val="00293DDE"/>
    <w:rsid w:val="00311E0E"/>
    <w:rsid w:val="003267D7"/>
    <w:rsid w:val="005716E5"/>
    <w:rsid w:val="0058158F"/>
    <w:rsid w:val="00590F69"/>
    <w:rsid w:val="005F098B"/>
    <w:rsid w:val="005F286E"/>
    <w:rsid w:val="006B7AF0"/>
    <w:rsid w:val="00764CFE"/>
    <w:rsid w:val="007858C9"/>
    <w:rsid w:val="007C2890"/>
    <w:rsid w:val="007F1580"/>
    <w:rsid w:val="00885B39"/>
    <w:rsid w:val="00891210"/>
    <w:rsid w:val="008F7595"/>
    <w:rsid w:val="009A73BB"/>
    <w:rsid w:val="00B71189"/>
    <w:rsid w:val="00C31222"/>
    <w:rsid w:val="00C319E4"/>
    <w:rsid w:val="00C9112B"/>
    <w:rsid w:val="00CC118D"/>
    <w:rsid w:val="00CC4DB3"/>
    <w:rsid w:val="00CF1FF8"/>
    <w:rsid w:val="00DD289A"/>
    <w:rsid w:val="00E95EF7"/>
    <w:rsid w:val="00EE7F9D"/>
    <w:rsid w:val="00F5052B"/>
    <w:rsid w:val="00FA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9EBFB"/>
  <w15:docId w15:val="{BA0CDA59-9362-4886-8578-8A2AC8FA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7D7"/>
    <w:pPr>
      <w:ind w:left="720"/>
      <w:contextualSpacing/>
    </w:pPr>
  </w:style>
  <w:style w:type="paragraph" w:styleId="Header">
    <w:name w:val="header"/>
    <w:basedOn w:val="Normal"/>
    <w:link w:val="HeaderChar"/>
    <w:uiPriority w:val="99"/>
    <w:unhideWhenUsed/>
    <w:rsid w:val="00EE7F9D"/>
    <w:pPr>
      <w:tabs>
        <w:tab w:val="center" w:pos="4680"/>
        <w:tab w:val="right" w:pos="9360"/>
      </w:tabs>
    </w:pPr>
  </w:style>
  <w:style w:type="character" w:customStyle="1" w:styleId="HeaderChar">
    <w:name w:val="Header Char"/>
    <w:basedOn w:val="DefaultParagraphFont"/>
    <w:link w:val="Header"/>
    <w:uiPriority w:val="99"/>
    <w:rsid w:val="00EE7F9D"/>
  </w:style>
  <w:style w:type="paragraph" w:styleId="Footer">
    <w:name w:val="footer"/>
    <w:basedOn w:val="Normal"/>
    <w:link w:val="FooterChar"/>
    <w:uiPriority w:val="99"/>
    <w:unhideWhenUsed/>
    <w:rsid w:val="00EE7F9D"/>
    <w:pPr>
      <w:tabs>
        <w:tab w:val="center" w:pos="4680"/>
        <w:tab w:val="right" w:pos="9360"/>
      </w:tabs>
    </w:pPr>
  </w:style>
  <w:style w:type="character" w:customStyle="1" w:styleId="FooterChar">
    <w:name w:val="Footer Char"/>
    <w:basedOn w:val="DefaultParagraphFont"/>
    <w:link w:val="Footer"/>
    <w:uiPriority w:val="99"/>
    <w:rsid w:val="00EE7F9D"/>
  </w:style>
  <w:style w:type="paragraph" w:styleId="BalloonText">
    <w:name w:val="Balloon Text"/>
    <w:basedOn w:val="Normal"/>
    <w:link w:val="BalloonTextChar"/>
    <w:uiPriority w:val="99"/>
    <w:semiHidden/>
    <w:unhideWhenUsed/>
    <w:rsid w:val="00EE7F9D"/>
    <w:rPr>
      <w:rFonts w:ascii="Tahoma" w:hAnsi="Tahoma" w:cs="Tahoma"/>
      <w:sz w:val="16"/>
      <w:szCs w:val="16"/>
    </w:rPr>
  </w:style>
  <w:style w:type="character" w:customStyle="1" w:styleId="BalloonTextChar">
    <w:name w:val="Balloon Text Char"/>
    <w:basedOn w:val="DefaultParagraphFont"/>
    <w:link w:val="BalloonText"/>
    <w:uiPriority w:val="99"/>
    <w:semiHidden/>
    <w:rsid w:val="00EE7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dc:creator>
  <cp:lastModifiedBy>Galilee-Belfer, Mika - (mikagb)</cp:lastModifiedBy>
  <cp:revision>3</cp:revision>
  <cp:lastPrinted>2015-06-02T22:34:00Z</cp:lastPrinted>
  <dcterms:created xsi:type="dcterms:W3CDTF">2018-11-15T15:51:00Z</dcterms:created>
  <dcterms:modified xsi:type="dcterms:W3CDTF">2018-11-15T15:55:00Z</dcterms:modified>
</cp:coreProperties>
</file>