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BACC" w14:textId="77777777" w:rsidR="0045258F" w:rsidRPr="00634DBB" w:rsidRDefault="006F1B15" w:rsidP="0002639A">
      <w:pPr>
        <w:tabs>
          <w:tab w:val="left" w:pos="630"/>
        </w:tabs>
        <w:ind w:left="630" w:hanging="1350"/>
        <w:rPr>
          <w:rFonts w:asciiTheme="minorHAnsi" w:hAnsiTheme="minorHAnsi" w:cstheme="minorHAnsi"/>
          <w:b/>
          <w:bCs/>
          <w:kern w:val="32"/>
          <w:szCs w:val="22"/>
        </w:rPr>
      </w:pPr>
      <w:bookmarkStart w:id="0" w:name="_GoBack"/>
      <w:bookmarkEnd w:id="0"/>
      <w:r w:rsidRPr="00634DBB">
        <w:rPr>
          <w:rFonts w:asciiTheme="minorHAnsi" w:hAnsiTheme="minorHAnsi" w:cstheme="minorHAnsi"/>
          <w:b/>
          <w:bCs/>
          <w:kern w:val="32"/>
          <w:szCs w:val="22"/>
        </w:rPr>
        <w:t>T</w:t>
      </w:r>
      <w:r w:rsidR="00CF2191" w:rsidRPr="00634DBB">
        <w:rPr>
          <w:rFonts w:asciiTheme="minorHAnsi" w:hAnsiTheme="minorHAnsi" w:cstheme="minorHAnsi"/>
          <w:b/>
          <w:bCs/>
          <w:kern w:val="32"/>
          <w:szCs w:val="22"/>
        </w:rPr>
        <w:t xml:space="preserve">itle: </w:t>
      </w:r>
      <w:r w:rsidR="00DD55AB" w:rsidRPr="00634DBB">
        <w:rPr>
          <w:rFonts w:asciiTheme="minorHAnsi" w:hAnsiTheme="minorHAnsi" w:cstheme="minorHAnsi"/>
          <w:b/>
          <w:bCs/>
          <w:kern w:val="32"/>
          <w:szCs w:val="22"/>
        </w:rPr>
        <w:t>HIRE, RENEWAL, AND EVA</w:t>
      </w:r>
      <w:r w:rsidR="0002639A" w:rsidRPr="00634DBB">
        <w:rPr>
          <w:rFonts w:asciiTheme="minorHAnsi" w:hAnsiTheme="minorHAnsi" w:cstheme="minorHAnsi"/>
          <w:b/>
          <w:bCs/>
          <w:kern w:val="32"/>
          <w:szCs w:val="22"/>
        </w:rPr>
        <w:t xml:space="preserve">LUATION FOR FULL-TIME </w:t>
      </w:r>
      <w:r w:rsidR="00B17D82" w:rsidRPr="00634DBB">
        <w:rPr>
          <w:rFonts w:asciiTheme="minorHAnsi" w:hAnsiTheme="minorHAnsi" w:cstheme="minorHAnsi"/>
          <w:b/>
          <w:bCs/>
          <w:kern w:val="32"/>
          <w:szCs w:val="22"/>
        </w:rPr>
        <w:t>CAREER-TRACK</w:t>
      </w:r>
      <w:r w:rsidR="007416AE" w:rsidRPr="00634DBB">
        <w:rPr>
          <w:rFonts w:asciiTheme="minorHAnsi" w:hAnsiTheme="minorHAnsi" w:cstheme="minorHAnsi"/>
          <w:b/>
          <w:bCs/>
          <w:kern w:val="32"/>
          <w:szCs w:val="22"/>
        </w:rPr>
        <w:t xml:space="preserve"> (</w:t>
      </w:r>
      <w:r w:rsidR="0002639A" w:rsidRPr="00634DBB">
        <w:rPr>
          <w:rFonts w:asciiTheme="minorHAnsi" w:hAnsiTheme="minorHAnsi" w:cstheme="minorHAnsi"/>
          <w:b/>
          <w:bCs/>
          <w:kern w:val="32"/>
          <w:szCs w:val="22"/>
        </w:rPr>
        <w:t>NONTENURE</w:t>
      </w:r>
      <w:r w:rsidR="007416AE" w:rsidRPr="00634DBB">
        <w:rPr>
          <w:rFonts w:asciiTheme="minorHAnsi" w:hAnsiTheme="minorHAnsi" w:cstheme="minorHAnsi"/>
          <w:b/>
          <w:bCs/>
          <w:kern w:val="32"/>
          <w:szCs w:val="22"/>
        </w:rPr>
        <w:t>)</w:t>
      </w:r>
      <w:r w:rsidR="00DD55AB" w:rsidRPr="00634DBB">
        <w:rPr>
          <w:rFonts w:asciiTheme="minorHAnsi" w:hAnsiTheme="minorHAnsi" w:cstheme="minorHAnsi"/>
          <w:b/>
          <w:bCs/>
          <w:kern w:val="32"/>
          <w:szCs w:val="22"/>
        </w:rPr>
        <w:t xml:space="preserve"> APPOINTMENTS</w:t>
      </w:r>
    </w:p>
    <w:p w14:paraId="347A19AC" w14:textId="77777777" w:rsidR="00CF2191" w:rsidRPr="00634DBB" w:rsidRDefault="00CF2191" w:rsidP="0045258F">
      <w:pPr>
        <w:ind w:left="630" w:hanging="1350"/>
        <w:jc w:val="both"/>
        <w:rPr>
          <w:rFonts w:asciiTheme="minorHAnsi" w:hAnsiTheme="minorHAnsi" w:cstheme="minorHAnsi"/>
          <w:bCs/>
          <w:kern w:val="32"/>
          <w:szCs w:val="22"/>
        </w:rPr>
      </w:pPr>
      <w:r w:rsidRPr="00634DBB">
        <w:rPr>
          <w:rFonts w:asciiTheme="minorHAnsi" w:hAnsiTheme="minorHAnsi" w:cstheme="minorHAnsi"/>
          <w:bCs/>
          <w:kern w:val="32"/>
          <w:szCs w:val="22"/>
        </w:rPr>
        <w:t xml:space="preserve">Effective:  </w:t>
      </w:r>
      <w:r w:rsidR="00DD55AB" w:rsidRPr="00634DBB">
        <w:rPr>
          <w:rFonts w:asciiTheme="minorHAnsi" w:hAnsiTheme="minorHAnsi" w:cstheme="minorHAnsi"/>
          <w:bCs/>
          <w:kern w:val="32"/>
          <w:szCs w:val="22"/>
        </w:rPr>
        <w:t>January 9, 2013</w:t>
      </w:r>
    </w:p>
    <w:p w14:paraId="4B37B519" w14:textId="77777777" w:rsidR="003A14DE" w:rsidRPr="00634DBB" w:rsidRDefault="003A14DE" w:rsidP="00880FBA">
      <w:pPr>
        <w:ind w:left="630" w:hanging="1350"/>
        <w:jc w:val="both"/>
        <w:rPr>
          <w:rFonts w:asciiTheme="minorHAnsi" w:hAnsiTheme="minorHAnsi" w:cstheme="minorHAnsi"/>
          <w:bCs/>
          <w:kern w:val="32"/>
          <w:szCs w:val="22"/>
        </w:rPr>
      </w:pPr>
      <w:r w:rsidRPr="00634DBB">
        <w:rPr>
          <w:rFonts w:asciiTheme="minorHAnsi" w:hAnsiTheme="minorHAnsi" w:cstheme="minorHAnsi"/>
          <w:bCs/>
          <w:kern w:val="32"/>
          <w:szCs w:val="22"/>
        </w:rPr>
        <w:t>Revised: March 18, 2014</w:t>
      </w:r>
      <w:r w:rsidR="006F1B15" w:rsidRPr="00634DBB">
        <w:rPr>
          <w:rFonts w:asciiTheme="minorHAnsi" w:hAnsiTheme="minorHAnsi" w:cstheme="minorHAnsi"/>
          <w:bCs/>
          <w:kern w:val="32"/>
          <w:szCs w:val="22"/>
        </w:rPr>
        <w:t xml:space="preserve">; </w:t>
      </w:r>
      <w:r w:rsidR="00880FBA" w:rsidRPr="00634DBB">
        <w:rPr>
          <w:rFonts w:asciiTheme="minorHAnsi" w:hAnsiTheme="minorHAnsi" w:cstheme="minorHAnsi"/>
          <w:bCs/>
          <w:kern w:val="32"/>
          <w:szCs w:val="22"/>
        </w:rPr>
        <w:t>January 23, 2015</w:t>
      </w:r>
      <w:r w:rsidR="003E5813" w:rsidRPr="00634DBB">
        <w:rPr>
          <w:rFonts w:asciiTheme="minorHAnsi" w:hAnsiTheme="minorHAnsi" w:cstheme="minorHAnsi"/>
          <w:bCs/>
          <w:kern w:val="32"/>
          <w:szCs w:val="22"/>
        </w:rPr>
        <w:t>; July 14, 2017</w:t>
      </w:r>
      <w:r w:rsidR="00CD043B" w:rsidRPr="00634DBB">
        <w:rPr>
          <w:rFonts w:asciiTheme="minorHAnsi" w:hAnsiTheme="minorHAnsi" w:cstheme="minorHAnsi"/>
          <w:bCs/>
          <w:kern w:val="32"/>
          <w:szCs w:val="22"/>
        </w:rPr>
        <w:t>; April 10, 2018</w:t>
      </w:r>
    </w:p>
    <w:p w14:paraId="2289F45F" w14:textId="77777777" w:rsidR="00B26DC6" w:rsidRPr="00634DBB" w:rsidRDefault="00B26DC6" w:rsidP="00B26DC6">
      <w:pPr>
        <w:ind w:left="-720"/>
        <w:jc w:val="both"/>
        <w:rPr>
          <w:rFonts w:asciiTheme="minorHAnsi" w:hAnsiTheme="minorHAnsi" w:cstheme="minorHAnsi"/>
          <w:b/>
          <w:bCs/>
          <w:kern w:val="32"/>
          <w:szCs w:val="22"/>
        </w:rPr>
      </w:pPr>
    </w:p>
    <w:p w14:paraId="2170AD9D" w14:textId="77777777" w:rsidR="00B26DC6" w:rsidRPr="00634DBB" w:rsidRDefault="00B26DC6" w:rsidP="00B26DC6">
      <w:pPr>
        <w:ind w:left="-720"/>
        <w:jc w:val="both"/>
        <w:rPr>
          <w:rFonts w:asciiTheme="minorHAnsi" w:hAnsiTheme="minorHAnsi" w:cstheme="minorHAnsi"/>
          <w:b/>
          <w:bCs/>
          <w:kern w:val="32"/>
          <w:szCs w:val="22"/>
        </w:rPr>
      </w:pPr>
      <w:r w:rsidRPr="00634DBB">
        <w:rPr>
          <w:rFonts w:asciiTheme="minorHAnsi" w:hAnsiTheme="minorHAnsi" w:cstheme="minorHAnsi"/>
          <w:b/>
          <w:bCs/>
          <w:kern w:val="32"/>
          <w:szCs w:val="22"/>
        </w:rPr>
        <w:t>PURPOSE/INTENT</w:t>
      </w:r>
    </w:p>
    <w:p w14:paraId="7AC13659" w14:textId="77777777" w:rsidR="00B26DC6" w:rsidRPr="00634DBB" w:rsidRDefault="00B26DC6" w:rsidP="00B26DC6">
      <w:pPr>
        <w:ind w:left="-720"/>
        <w:jc w:val="both"/>
        <w:rPr>
          <w:rFonts w:asciiTheme="minorHAnsi" w:hAnsiTheme="minorHAnsi" w:cstheme="minorHAnsi"/>
          <w:b/>
          <w:bCs/>
          <w:kern w:val="32"/>
          <w:szCs w:val="22"/>
        </w:rPr>
      </w:pPr>
    </w:p>
    <w:p w14:paraId="614EFE20" w14:textId="77777777" w:rsidR="00E97CB6" w:rsidRPr="00634DBB" w:rsidRDefault="00B31BCC" w:rsidP="00B26DC6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  <w:r w:rsidRPr="00634DBB">
        <w:rPr>
          <w:rFonts w:asciiTheme="minorHAnsi" w:hAnsiTheme="minorHAnsi" w:cstheme="minorHAnsi"/>
          <w:bCs/>
          <w:kern w:val="32"/>
          <w:szCs w:val="22"/>
        </w:rPr>
        <w:t xml:space="preserve">The College of Social and Behavioral Sciences (SBS) believes that </w:t>
      </w:r>
      <w:r w:rsidR="00B17D82" w:rsidRPr="00634DBB">
        <w:rPr>
          <w:rFonts w:asciiTheme="minorHAnsi" w:hAnsiTheme="minorHAnsi" w:cstheme="minorHAnsi"/>
          <w:bCs/>
          <w:kern w:val="32"/>
          <w:szCs w:val="22"/>
        </w:rPr>
        <w:t>Career-Track</w:t>
      </w:r>
      <w:r w:rsidR="007416AE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  <w:r w:rsidRPr="00634DBB">
        <w:rPr>
          <w:rFonts w:asciiTheme="minorHAnsi" w:hAnsiTheme="minorHAnsi" w:cstheme="minorHAnsi"/>
          <w:bCs/>
          <w:kern w:val="32"/>
          <w:szCs w:val="22"/>
        </w:rPr>
        <w:t>faculty members are vital to our teaching and service missions. This document presents University and College guidelines for hire, review</w:t>
      </w:r>
      <w:r w:rsidR="007416AE" w:rsidRPr="00634DBB">
        <w:rPr>
          <w:rFonts w:asciiTheme="minorHAnsi" w:hAnsiTheme="minorHAnsi" w:cstheme="minorHAnsi"/>
          <w:bCs/>
          <w:kern w:val="32"/>
          <w:szCs w:val="22"/>
        </w:rPr>
        <w:t xml:space="preserve">, </w:t>
      </w:r>
      <w:r w:rsidR="00EA5C16" w:rsidRPr="00634DBB">
        <w:rPr>
          <w:rFonts w:asciiTheme="minorHAnsi" w:hAnsiTheme="minorHAnsi" w:cstheme="minorHAnsi"/>
          <w:bCs/>
          <w:kern w:val="32"/>
          <w:szCs w:val="22"/>
        </w:rPr>
        <w:t xml:space="preserve">and </w:t>
      </w:r>
      <w:r w:rsidR="007416AE" w:rsidRPr="00634DBB">
        <w:rPr>
          <w:rFonts w:asciiTheme="minorHAnsi" w:hAnsiTheme="minorHAnsi" w:cstheme="minorHAnsi"/>
          <w:bCs/>
          <w:kern w:val="32"/>
          <w:szCs w:val="22"/>
        </w:rPr>
        <w:t xml:space="preserve">renewal for </w:t>
      </w:r>
      <w:r w:rsidR="00B17D82" w:rsidRPr="00634DBB">
        <w:rPr>
          <w:rFonts w:asciiTheme="minorHAnsi" w:hAnsiTheme="minorHAnsi" w:cstheme="minorHAnsi"/>
          <w:bCs/>
          <w:kern w:val="32"/>
          <w:szCs w:val="22"/>
        </w:rPr>
        <w:t>Career-Track</w:t>
      </w:r>
      <w:r w:rsidRPr="00634DBB">
        <w:rPr>
          <w:rFonts w:asciiTheme="minorHAnsi" w:hAnsiTheme="minorHAnsi" w:cstheme="minorHAnsi"/>
          <w:bCs/>
          <w:kern w:val="32"/>
          <w:szCs w:val="22"/>
        </w:rPr>
        <w:t xml:space="preserve"> positions.</w:t>
      </w:r>
      <w:r w:rsidR="0055640C" w:rsidRPr="00634DBB">
        <w:rPr>
          <w:rFonts w:asciiTheme="minorHAnsi" w:hAnsiTheme="minorHAnsi" w:cstheme="minorHAnsi"/>
          <w:bCs/>
          <w:kern w:val="32"/>
          <w:szCs w:val="22"/>
        </w:rPr>
        <w:t xml:space="preserve">  </w:t>
      </w:r>
    </w:p>
    <w:p w14:paraId="2E77ECF7" w14:textId="77777777" w:rsidR="00E97CB6" w:rsidRPr="00634DBB" w:rsidRDefault="00E97CB6" w:rsidP="00B26DC6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</w:p>
    <w:p w14:paraId="49CA8351" w14:textId="77777777" w:rsidR="00CF2191" w:rsidRPr="00634DBB" w:rsidRDefault="00E97CB6" w:rsidP="00B26DC6">
      <w:pPr>
        <w:ind w:left="-720"/>
        <w:jc w:val="both"/>
        <w:rPr>
          <w:rFonts w:asciiTheme="minorHAnsi" w:hAnsiTheme="minorHAnsi" w:cstheme="minorHAnsi"/>
          <w:b/>
          <w:bCs/>
          <w:i/>
          <w:kern w:val="32"/>
          <w:szCs w:val="22"/>
        </w:rPr>
      </w:pPr>
      <w:r w:rsidRPr="00634DBB">
        <w:rPr>
          <w:rFonts w:asciiTheme="minorHAnsi" w:hAnsiTheme="minorHAnsi" w:cstheme="minorHAnsi"/>
          <w:bCs/>
          <w:i/>
          <w:kern w:val="32"/>
          <w:szCs w:val="22"/>
        </w:rPr>
        <w:t xml:space="preserve">NOTE: </w:t>
      </w:r>
      <w:r w:rsidR="0055640C" w:rsidRPr="00634DBB">
        <w:rPr>
          <w:rFonts w:asciiTheme="minorHAnsi" w:hAnsiTheme="minorHAnsi" w:cstheme="minorHAnsi"/>
          <w:bCs/>
          <w:i/>
          <w:kern w:val="32"/>
          <w:szCs w:val="22"/>
        </w:rPr>
        <w:t xml:space="preserve">For Adjunct appointments for faculty (meaning, for faculty members on an appointment that is less than .75 FTE or less than a full academic or fiscal year, </w:t>
      </w:r>
      <w:r w:rsidR="0055640C" w:rsidRPr="00634DBB">
        <w:rPr>
          <w:rFonts w:asciiTheme="minorHAnsi" w:hAnsiTheme="minorHAnsi" w:cstheme="minorHAnsi"/>
          <w:b/>
          <w:bCs/>
          <w:i/>
          <w:kern w:val="32"/>
          <w:szCs w:val="22"/>
        </w:rPr>
        <w:t>and</w:t>
      </w:r>
      <w:r w:rsidR="0055640C" w:rsidRPr="00634DBB">
        <w:rPr>
          <w:rFonts w:asciiTheme="minorHAnsi" w:hAnsiTheme="minorHAnsi" w:cstheme="minorHAnsi"/>
          <w:bCs/>
          <w:i/>
          <w:kern w:val="32"/>
          <w:szCs w:val="22"/>
        </w:rPr>
        <w:t xml:space="preserve"> which is not expected to be renewed beyond a single fiscal or academic year), </w:t>
      </w:r>
      <w:r w:rsidR="006F1B15" w:rsidRPr="00634DBB">
        <w:rPr>
          <w:rFonts w:asciiTheme="minorHAnsi" w:hAnsiTheme="minorHAnsi" w:cstheme="minorHAnsi"/>
          <w:bCs/>
          <w:i/>
          <w:kern w:val="32"/>
          <w:szCs w:val="22"/>
        </w:rPr>
        <w:t>an</w:t>
      </w:r>
      <w:r w:rsidR="0055640C" w:rsidRPr="00634DBB">
        <w:rPr>
          <w:rFonts w:asciiTheme="minorHAnsi" w:hAnsiTheme="minorHAnsi" w:cstheme="minorHAnsi"/>
          <w:bCs/>
          <w:i/>
          <w:kern w:val="32"/>
          <w:szCs w:val="22"/>
        </w:rPr>
        <w:t xml:space="preserve"> SBS Policy on Adjunct Appointments</w:t>
      </w:r>
      <w:r w:rsidR="006F1B15" w:rsidRPr="00634DBB">
        <w:rPr>
          <w:rFonts w:asciiTheme="minorHAnsi" w:hAnsiTheme="minorHAnsi" w:cstheme="minorHAnsi"/>
          <w:bCs/>
          <w:i/>
          <w:kern w:val="32"/>
          <w:szCs w:val="22"/>
        </w:rPr>
        <w:t xml:space="preserve"> </w:t>
      </w:r>
      <w:r w:rsidR="00B17D82" w:rsidRPr="00634DBB">
        <w:rPr>
          <w:rFonts w:asciiTheme="minorHAnsi" w:hAnsiTheme="minorHAnsi" w:cstheme="minorHAnsi"/>
          <w:bCs/>
          <w:i/>
          <w:kern w:val="32"/>
          <w:szCs w:val="22"/>
        </w:rPr>
        <w:t xml:space="preserve">available at on the </w:t>
      </w:r>
      <w:hyperlink r:id="rId9" w:history="1">
        <w:r w:rsidR="00B17D82" w:rsidRPr="00634DBB">
          <w:rPr>
            <w:rStyle w:val="Hyperlink"/>
            <w:rFonts w:asciiTheme="minorHAnsi" w:hAnsiTheme="minorHAnsi" w:cstheme="minorHAnsi"/>
            <w:bCs/>
            <w:i/>
            <w:color w:val="548DD4" w:themeColor="text2" w:themeTint="99"/>
            <w:kern w:val="32"/>
            <w:szCs w:val="22"/>
          </w:rPr>
          <w:t>SBS Faculty Affairs Website</w:t>
        </w:r>
      </w:hyperlink>
      <w:r w:rsidR="0055640C" w:rsidRPr="00634DBB">
        <w:rPr>
          <w:rFonts w:asciiTheme="minorHAnsi" w:hAnsiTheme="minorHAnsi" w:cstheme="minorHAnsi"/>
          <w:bCs/>
          <w:i/>
          <w:kern w:val="32"/>
          <w:szCs w:val="22"/>
        </w:rPr>
        <w:t>.</w:t>
      </w:r>
    </w:p>
    <w:p w14:paraId="791C8E1E" w14:textId="77777777" w:rsidR="00B31BCC" w:rsidRPr="00634DBB" w:rsidRDefault="00B31BCC" w:rsidP="00B26DC6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</w:p>
    <w:p w14:paraId="578510FB" w14:textId="77777777" w:rsidR="00B26DC6" w:rsidRPr="00634DBB" w:rsidRDefault="00B26DC6" w:rsidP="00B26DC6">
      <w:pPr>
        <w:ind w:left="-720"/>
        <w:jc w:val="both"/>
        <w:rPr>
          <w:rFonts w:asciiTheme="minorHAnsi" w:hAnsiTheme="minorHAnsi" w:cstheme="minorHAnsi"/>
          <w:b/>
          <w:bCs/>
          <w:kern w:val="32"/>
          <w:szCs w:val="22"/>
        </w:rPr>
      </w:pPr>
      <w:r w:rsidRPr="00634DBB">
        <w:rPr>
          <w:rFonts w:asciiTheme="minorHAnsi" w:hAnsiTheme="minorHAnsi" w:cstheme="minorHAnsi"/>
          <w:b/>
          <w:bCs/>
          <w:kern w:val="32"/>
          <w:szCs w:val="22"/>
        </w:rPr>
        <w:t>UNIVERSITY OF ARIZONA POLICY</w:t>
      </w:r>
    </w:p>
    <w:p w14:paraId="26E93F3B" w14:textId="77777777" w:rsidR="00B26DC6" w:rsidRPr="00634DBB" w:rsidRDefault="00B26DC6" w:rsidP="00B26DC6">
      <w:pPr>
        <w:ind w:left="-720"/>
        <w:jc w:val="both"/>
        <w:rPr>
          <w:rFonts w:asciiTheme="minorHAnsi" w:hAnsiTheme="minorHAnsi" w:cstheme="minorHAnsi"/>
          <w:b/>
          <w:bCs/>
          <w:kern w:val="32"/>
          <w:szCs w:val="22"/>
        </w:rPr>
      </w:pPr>
    </w:p>
    <w:p w14:paraId="5D2B904D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  <w:r w:rsidRPr="00634DBB">
        <w:rPr>
          <w:rFonts w:asciiTheme="minorHAnsi" w:hAnsiTheme="minorHAnsi" w:cstheme="minorHAnsi"/>
          <w:bCs/>
          <w:kern w:val="32"/>
          <w:szCs w:val="22"/>
        </w:rPr>
        <w:t xml:space="preserve">The Arizona Board of Regents (ABOR) and the University of Arizona’s Office of the Provost have distinguished </w:t>
      </w:r>
      <w:r w:rsidR="00B17D82" w:rsidRPr="00634DBB">
        <w:rPr>
          <w:rFonts w:asciiTheme="minorHAnsi" w:hAnsiTheme="minorHAnsi" w:cstheme="minorHAnsi"/>
          <w:bCs/>
          <w:kern w:val="32"/>
          <w:szCs w:val="22"/>
        </w:rPr>
        <w:t>Career-Track</w:t>
      </w:r>
      <w:r w:rsidRPr="00634DBB">
        <w:rPr>
          <w:rFonts w:asciiTheme="minorHAnsi" w:hAnsiTheme="minorHAnsi" w:cstheme="minorHAnsi"/>
          <w:bCs/>
          <w:kern w:val="32"/>
          <w:szCs w:val="22"/>
        </w:rPr>
        <w:t xml:space="preserve"> faculty titles below by professional histories, areas of expertise, and intended service to the university. The conditions under which different categories of full-time </w:t>
      </w:r>
      <w:r w:rsidR="00B17D82" w:rsidRPr="00634DBB">
        <w:rPr>
          <w:rFonts w:asciiTheme="minorHAnsi" w:hAnsiTheme="minorHAnsi" w:cstheme="minorHAnsi"/>
          <w:bCs/>
          <w:kern w:val="32"/>
          <w:szCs w:val="22"/>
        </w:rPr>
        <w:t>Career-Track</w:t>
      </w:r>
      <w:r w:rsidR="007416AE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  <w:r w:rsidRPr="00634DBB">
        <w:rPr>
          <w:rFonts w:asciiTheme="minorHAnsi" w:hAnsiTheme="minorHAnsi" w:cstheme="minorHAnsi"/>
          <w:bCs/>
          <w:kern w:val="32"/>
          <w:szCs w:val="22"/>
        </w:rPr>
        <w:t>faculty can be hired, renewed, or promoted have also been stipulated.</w:t>
      </w:r>
      <w:r w:rsidR="00001DD3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</w:p>
    <w:p w14:paraId="6B4BB9F4" w14:textId="77777777" w:rsidR="00001DD3" w:rsidRPr="00634DBB" w:rsidRDefault="00001DD3" w:rsidP="00B31BCC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</w:p>
    <w:p w14:paraId="5329B9A1" w14:textId="77777777" w:rsidR="00EE00B2" w:rsidRPr="00634DBB" w:rsidRDefault="00EE00B2" w:rsidP="00B31BCC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  <w:r w:rsidRPr="00634DBB">
        <w:rPr>
          <w:rFonts w:asciiTheme="minorHAnsi" w:hAnsiTheme="minorHAnsi" w:cstheme="minorHAnsi"/>
          <w:bCs/>
          <w:kern w:val="32"/>
          <w:szCs w:val="22"/>
        </w:rPr>
        <w:t>For additional information, p</w:t>
      </w:r>
      <w:r w:rsidR="00001DD3" w:rsidRPr="00634DBB">
        <w:rPr>
          <w:rFonts w:asciiTheme="minorHAnsi" w:hAnsiTheme="minorHAnsi" w:cstheme="minorHAnsi"/>
          <w:bCs/>
          <w:kern w:val="32"/>
          <w:szCs w:val="22"/>
        </w:rPr>
        <w:t>lease see</w:t>
      </w:r>
      <w:r w:rsidRPr="00634DBB">
        <w:rPr>
          <w:rFonts w:asciiTheme="minorHAnsi" w:hAnsiTheme="minorHAnsi" w:cstheme="minorHAnsi"/>
          <w:bCs/>
          <w:kern w:val="32"/>
          <w:szCs w:val="22"/>
        </w:rPr>
        <w:t>:</w:t>
      </w:r>
    </w:p>
    <w:p w14:paraId="02C3363A" w14:textId="77777777" w:rsidR="00B05A4A" w:rsidRPr="00634DBB" w:rsidRDefault="00B05A4A" w:rsidP="00B31BCC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</w:p>
    <w:p w14:paraId="1603EF4B" w14:textId="77777777" w:rsidR="00434177" w:rsidRPr="00634DBB" w:rsidRDefault="00E51E55" w:rsidP="00B05A4A">
      <w:pPr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  <w:bCs/>
          <w:kern w:val="32"/>
          <w:szCs w:val="22"/>
        </w:rPr>
      </w:pPr>
      <w:hyperlink r:id="rId10" w:history="1">
        <w:r w:rsidR="00001DD3" w:rsidRPr="00634DBB">
          <w:rPr>
            <w:rStyle w:val="Hyperlink"/>
            <w:rFonts w:asciiTheme="minorHAnsi" w:hAnsiTheme="minorHAnsi" w:cstheme="minorHAnsi"/>
            <w:bCs/>
            <w:color w:val="0070C0"/>
            <w:kern w:val="32"/>
            <w:szCs w:val="22"/>
          </w:rPr>
          <w:t xml:space="preserve">UHAP </w:t>
        </w:r>
        <w:r w:rsidR="00EE00B2" w:rsidRPr="00634DBB">
          <w:rPr>
            <w:rStyle w:val="Hyperlink"/>
            <w:rFonts w:asciiTheme="minorHAnsi" w:hAnsiTheme="minorHAnsi" w:cstheme="minorHAnsi"/>
            <w:bCs/>
            <w:color w:val="0070C0"/>
            <w:kern w:val="32"/>
            <w:szCs w:val="22"/>
          </w:rPr>
          <w:t>D</w:t>
        </w:r>
        <w:r w:rsidR="00001DD3" w:rsidRPr="00634DBB">
          <w:rPr>
            <w:rStyle w:val="Hyperlink"/>
            <w:rFonts w:asciiTheme="minorHAnsi" w:hAnsiTheme="minorHAnsi" w:cstheme="minorHAnsi"/>
            <w:bCs/>
            <w:color w:val="0070C0"/>
            <w:kern w:val="32"/>
            <w:szCs w:val="22"/>
          </w:rPr>
          <w:t>efinitions</w:t>
        </w:r>
      </w:hyperlink>
      <w:r w:rsidR="00EE00B2" w:rsidRPr="00634DBB">
        <w:rPr>
          <w:rFonts w:asciiTheme="minorHAnsi" w:hAnsiTheme="minorHAnsi" w:cstheme="minorHAnsi"/>
          <w:bCs/>
          <w:kern w:val="32"/>
          <w:szCs w:val="22"/>
        </w:rPr>
        <w:t>,</w:t>
      </w:r>
      <w:r w:rsidR="00001DD3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  <w:r w:rsidR="00EE00B2" w:rsidRPr="00634DBB">
        <w:rPr>
          <w:rFonts w:asciiTheme="minorHAnsi" w:hAnsiTheme="minorHAnsi" w:cstheme="minorHAnsi"/>
          <w:bCs/>
          <w:kern w:val="32"/>
          <w:szCs w:val="22"/>
        </w:rPr>
        <w:t>for definitions of</w:t>
      </w:r>
      <w:r w:rsidR="00001DD3" w:rsidRPr="00634DBB">
        <w:rPr>
          <w:rFonts w:asciiTheme="minorHAnsi" w:hAnsiTheme="minorHAnsi" w:cstheme="minorHAnsi"/>
          <w:bCs/>
          <w:kern w:val="32"/>
          <w:szCs w:val="22"/>
        </w:rPr>
        <w:t xml:space="preserve"> Faculty, </w:t>
      </w:r>
      <w:r w:rsidR="00EE00B2" w:rsidRPr="00634DBB">
        <w:rPr>
          <w:rFonts w:asciiTheme="minorHAnsi" w:hAnsiTheme="minorHAnsi" w:cstheme="minorHAnsi"/>
          <w:bCs/>
          <w:kern w:val="32"/>
          <w:szCs w:val="22"/>
        </w:rPr>
        <w:t xml:space="preserve">General Faculty, </w:t>
      </w:r>
      <w:r w:rsidR="00B17D82" w:rsidRPr="00634DBB">
        <w:rPr>
          <w:rFonts w:asciiTheme="minorHAnsi" w:hAnsiTheme="minorHAnsi" w:cstheme="minorHAnsi"/>
          <w:bCs/>
          <w:kern w:val="32"/>
          <w:szCs w:val="22"/>
        </w:rPr>
        <w:t>Career-Track</w:t>
      </w:r>
      <w:r w:rsidR="007416AE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  <w:r w:rsidR="00E76B16" w:rsidRPr="00634DBB">
        <w:rPr>
          <w:rFonts w:asciiTheme="minorHAnsi" w:hAnsiTheme="minorHAnsi" w:cstheme="minorHAnsi"/>
          <w:bCs/>
          <w:kern w:val="32"/>
          <w:szCs w:val="22"/>
        </w:rPr>
        <w:t>Faculty, Instructors, Lecturers, and Professors of Practice</w:t>
      </w:r>
    </w:p>
    <w:p w14:paraId="2FFFC7C6" w14:textId="77777777" w:rsidR="00B31BCC" w:rsidRPr="00634DBB" w:rsidRDefault="00E51E55" w:rsidP="00EA5C16">
      <w:pPr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  <w:bCs/>
          <w:kern w:val="32"/>
          <w:szCs w:val="22"/>
        </w:rPr>
      </w:pPr>
      <w:hyperlink r:id="rId11" w:history="1">
        <w:r w:rsidR="00434177" w:rsidRPr="00634DBB">
          <w:rPr>
            <w:rStyle w:val="Hyperlink"/>
            <w:rFonts w:asciiTheme="minorHAnsi" w:hAnsiTheme="minorHAnsi" w:cstheme="minorHAnsi"/>
            <w:bCs/>
            <w:color w:val="0070C0"/>
            <w:kern w:val="32"/>
            <w:szCs w:val="22"/>
          </w:rPr>
          <w:t>UHAP Chapter 3.1.02</w:t>
        </w:r>
      </w:hyperlink>
      <w:r w:rsidR="00EE00B2" w:rsidRPr="00634DBB">
        <w:rPr>
          <w:rFonts w:asciiTheme="minorHAnsi" w:hAnsiTheme="minorHAnsi" w:cstheme="minorHAnsi"/>
          <w:bCs/>
          <w:kern w:val="32"/>
          <w:szCs w:val="22"/>
        </w:rPr>
        <w:t>, which</w:t>
      </w:r>
      <w:r w:rsidR="00434177" w:rsidRPr="00634DBB">
        <w:rPr>
          <w:rFonts w:asciiTheme="minorHAnsi" w:hAnsiTheme="minorHAnsi" w:cstheme="minorHAnsi"/>
          <w:bCs/>
          <w:kern w:val="32"/>
          <w:szCs w:val="22"/>
        </w:rPr>
        <w:t xml:space="preserve"> covers Appointments </w:t>
      </w:r>
      <w:r w:rsidR="00440669" w:rsidRPr="00634DBB">
        <w:rPr>
          <w:rFonts w:asciiTheme="minorHAnsi" w:hAnsiTheme="minorHAnsi" w:cstheme="minorHAnsi"/>
          <w:bCs/>
          <w:kern w:val="32"/>
          <w:szCs w:val="22"/>
        </w:rPr>
        <w:t xml:space="preserve">of </w:t>
      </w:r>
      <w:r w:rsidR="00B17D82" w:rsidRPr="00634DBB">
        <w:rPr>
          <w:rFonts w:asciiTheme="minorHAnsi" w:hAnsiTheme="minorHAnsi" w:cstheme="minorHAnsi"/>
          <w:bCs/>
          <w:kern w:val="32"/>
          <w:szCs w:val="22"/>
        </w:rPr>
        <w:t>Career-Track</w:t>
      </w:r>
      <w:r w:rsidR="007416AE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  <w:r w:rsidR="00434177" w:rsidRPr="00634DBB">
        <w:rPr>
          <w:rFonts w:asciiTheme="minorHAnsi" w:hAnsiTheme="minorHAnsi" w:cstheme="minorHAnsi"/>
          <w:bCs/>
          <w:kern w:val="32"/>
          <w:szCs w:val="22"/>
        </w:rPr>
        <w:t>Faculty lengths and types of appointments</w:t>
      </w:r>
      <w:r w:rsidR="00EE00B2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  <w:r w:rsidR="00434177" w:rsidRPr="00634DBB">
        <w:rPr>
          <w:rFonts w:asciiTheme="minorHAnsi" w:hAnsiTheme="minorHAnsi" w:cstheme="minorHAnsi"/>
          <w:bCs/>
          <w:kern w:val="32"/>
          <w:szCs w:val="22"/>
        </w:rPr>
        <w:t xml:space="preserve"> </w:t>
      </w:r>
    </w:p>
    <w:p w14:paraId="029FB1E7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kern w:val="32"/>
          <w:szCs w:val="22"/>
        </w:rPr>
      </w:pPr>
    </w:p>
    <w:p w14:paraId="43789C85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/>
          <w:bCs/>
          <w:szCs w:val="22"/>
        </w:rPr>
      </w:pPr>
      <w:r w:rsidRPr="00634DBB">
        <w:rPr>
          <w:rFonts w:asciiTheme="minorHAnsi" w:hAnsiTheme="minorHAnsi" w:cstheme="minorHAnsi"/>
          <w:b/>
          <w:bCs/>
          <w:szCs w:val="22"/>
        </w:rPr>
        <w:t xml:space="preserve">COLLEGE OF SOCIAL AND BEHAVIORAL SCIENCES </w:t>
      </w:r>
      <w:r w:rsidR="006F1B15" w:rsidRPr="00634DBB">
        <w:rPr>
          <w:rFonts w:asciiTheme="minorHAnsi" w:hAnsiTheme="minorHAnsi" w:cstheme="minorHAnsi"/>
          <w:b/>
          <w:bCs/>
          <w:szCs w:val="22"/>
        </w:rPr>
        <w:t>PRACTICE</w:t>
      </w:r>
      <w:r w:rsidRPr="00634DBB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05197D9A" w14:textId="77777777" w:rsidR="00CB060D" w:rsidRPr="00634DBB" w:rsidRDefault="00CB060D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3DF43AE9" w14:textId="77777777" w:rsidR="00CB060D" w:rsidRPr="00634DBB" w:rsidRDefault="00CB060D" w:rsidP="00CB060D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SBS practice holds that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Pr="00634DBB">
        <w:rPr>
          <w:rFonts w:asciiTheme="minorHAnsi" w:hAnsiTheme="minorHAnsi" w:cstheme="minorHAnsi"/>
          <w:bCs/>
          <w:szCs w:val="22"/>
        </w:rPr>
        <w:t xml:space="preserve"> faculty are hired primarily for teaching (except “Research Professor”). </w:t>
      </w:r>
    </w:p>
    <w:p w14:paraId="5D84DECD" w14:textId="77777777" w:rsidR="00CB060D" w:rsidRPr="00634DBB" w:rsidRDefault="00CB060D" w:rsidP="00CB060D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4D64365D" w14:textId="77777777" w:rsidR="00CB060D" w:rsidRPr="00634DBB" w:rsidRDefault="007416AE" w:rsidP="00CB060D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While a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 faculty workload allocation in teaching is normally 40% (which is typically 2 courses per semester), the teaching allocation for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 faculty can be up to 100% of the appointment. In all cases,</w:t>
      </w:r>
      <w:r w:rsidRPr="00634DBB">
        <w:rPr>
          <w:rFonts w:asciiTheme="minorHAnsi" w:hAnsiTheme="minorHAnsi" w:cstheme="minorHAnsi"/>
          <w:bCs/>
          <w:szCs w:val="22"/>
        </w:rPr>
        <w:t xml:space="preserve"> the College expectation for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 faculty (except “Research Professor”) is that teaching represent the bulk of </w:t>
      </w:r>
      <w:r w:rsidR="00EE00B2" w:rsidRPr="00634DBB">
        <w:rPr>
          <w:rFonts w:asciiTheme="minorHAnsi" w:hAnsiTheme="minorHAnsi" w:cstheme="minorHAnsi"/>
          <w:bCs/>
          <w:szCs w:val="22"/>
        </w:rPr>
        <w:t xml:space="preserve">the </w:t>
      </w:r>
      <w:r w:rsidR="00CB060D" w:rsidRPr="00634DBB">
        <w:rPr>
          <w:rFonts w:asciiTheme="minorHAnsi" w:hAnsiTheme="minorHAnsi" w:cstheme="minorHAnsi"/>
          <w:bCs/>
          <w:szCs w:val="22"/>
        </w:rPr>
        <w:t>workload allocation.</w:t>
      </w:r>
    </w:p>
    <w:p w14:paraId="18866A19" w14:textId="77777777" w:rsidR="00B05A4A" w:rsidRPr="00634DBB" w:rsidRDefault="00B05A4A" w:rsidP="00EE00B2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77A11287" w14:textId="77777777" w:rsidR="00B05A4A" w:rsidRPr="00634DBB" w:rsidRDefault="00B05A4A" w:rsidP="00B05A4A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In all cases, FTE and workload must be calculated at .10FTE per 3-unit course, unless spec</w:t>
      </w:r>
      <w:r w:rsidR="00F121F9" w:rsidRPr="00634DBB">
        <w:rPr>
          <w:rFonts w:asciiTheme="minorHAnsi" w:hAnsiTheme="minorHAnsi" w:cstheme="minorHAnsi"/>
          <w:bCs/>
          <w:szCs w:val="22"/>
        </w:rPr>
        <w:t>ifically agreed upon in advance</w:t>
      </w:r>
      <w:r w:rsidRPr="00634DBB">
        <w:rPr>
          <w:rFonts w:asciiTheme="minorHAnsi" w:hAnsiTheme="minorHAnsi" w:cstheme="minorHAnsi"/>
          <w:bCs/>
          <w:szCs w:val="22"/>
        </w:rPr>
        <w:t xml:space="preserve"> with the Dean’s office.</w:t>
      </w:r>
    </w:p>
    <w:p w14:paraId="7950AFE3" w14:textId="77777777" w:rsidR="00EE00B2" w:rsidRPr="00634DBB" w:rsidRDefault="00AB57D6" w:rsidP="00EE00B2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br w:type="page"/>
      </w:r>
    </w:p>
    <w:p w14:paraId="27789891" w14:textId="77777777" w:rsidR="00880FBA" w:rsidRPr="00634DBB" w:rsidRDefault="00880FBA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5881CB51" w14:textId="77777777" w:rsidR="00ED4FDB" w:rsidRPr="00634DBB" w:rsidRDefault="00B17D82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Career-Track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 positions within SBS, and brief description of each:</w:t>
      </w:r>
    </w:p>
    <w:p w14:paraId="0661B7B3" w14:textId="77777777" w:rsidR="002C3D88" w:rsidRPr="00634DBB" w:rsidRDefault="002C3D88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6DD0F643" w14:textId="77777777" w:rsidR="00B05A4A" w:rsidRPr="00634DBB" w:rsidRDefault="00B05A4A" w:rsidP="00ED4FDB">
      <w:pPr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Instructor: The primary responsibility of Instructors is teaching undergraduate courses.</w:t>
      </w:r>
    </w:p>
    <w:p w14:paraId="048456F0" w14:textId="77777777" w:rsidR="00BD6AF0" w:rsidRPr="00634DBB" w:rsidRDefault="00BD6AF0" w:rsidP="00BD6AF0">
      <w:p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i/>
          <w:szCs w:val="22"/>
        </w:rPr>
        <w:t>Appointment lengths: 1 semester or 1 year</w:t>
      </w:r>
      <w:r w:rsidRPr="00634DBB">
        <w:rPr>
          <w:rFonts w:asciiTheme="minorHAnsi" w:hAnsiTheme="minorHAnsi" w:cstheme="minorHAnsi"/>
          <w:bCs/>
          <w:szCs w:val="22"/>
        </w:rPr>
        <w:t xml:space="preserve">.  </w:t>
      </w:r>
    </w:p>
    <w:p w14:paraId="6407EC8F" w14:textId="77777777" w:rsidR="00B05A4A" w:rsidRPr="00634DBB" w:rsidRDefault="00B05A4A" w:rsidP="00B05A4A">
      <w:pPr>
        <w:jc w:val="both"/>
        <w:rPr>
          <w:rFonts w:asciiTheme="minorHAnsi" w:hAnsiTheme="minorHAnsi" w:cstheme="minorHAnsi"/>
          <w:bCs/>
          <w:szCs w:val="22"/>
        </w:rPr>
      </w:pPr>
    </w:p>
    <w:p w14:paraId="1F0B0CB5" w14:textId="77777777" w:rsidR="00BD6AF0" w:rsidRPr="00634DBB" w:rsidRDefault="003D7BEB" w:rsidP="00ED4FDB">
      <w:pPr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Lecturer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 (also Senior Lecturer and </w:t>
      </w:r>
      <w:r w:rsidRPr="00634DBB">
        <w:rPr>
          <w:rFonts w:asciiTheme="minorHAnsi" w:hAnsiTheme="minorHAnsi" w:cstheme="minorHAnsi"/>
          <w:bCs/>
          <w:szCs w:val="22"/>
        </w:rPr>
        <w:t>Principal Lecturer</w:t>
      </w:r>
      <w:r w:rsidR="002C3D88" w:rsidRPr="00634DBB">
        <w:rPr>
          <w:rFonts w:asciiTheme="minorHAnsi" w:hAnsiTheme="minorHAnsi" w:cstheme="minorHAnsi"/>
          <w:bCs/>
          <w:szCs w:val="22"/>
        </w:rPr>
        <w:t>):</w:t>
      </w:r>
      <w:r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The primary responsibility of Lecturers is </w:t>
      </w:r>
      <w:r w:rsidRPr="00634DBB">
        <w:rPr>
          <w:rFonts w:asciiTheme="minorHAnsi" w:hAnsiTheme="minorHAnsi" w:cstheme="minorHAnsi"/>
          <w:bCs/>
          <w:szCs w:val="22"/>
        </w:rPr>
        <w:t>teaching undergraduate</w:t>
      </w:r>
      <w:r w:rsidR="00D83118" w:rsidRPr="00634DBB">
        <w:rPr>
          <w:rFonts w:asciiTheme="minorHAnsi" w:hAnsiTheme="minorHAnsi" w:cstheme="minorHAnsi"/>
          <w:bCs/>
          <w:szCs w:val="22"/>
        </w:rPr>
        <w:t xml:space="preserve"> courses</w:t>
      </w:r>
      <w:r w:rsidR="002C3D88" w:rsidRPr="00634DBB">
        <w:rPr>
          <w:rFonts w:asciiTheme="minorHAnsi" w:hAnsiTheme="minorHAnsi" w:cstheme="minorHAnsi"/>
          <w:bCs/>
          <w:szCs w:val="22"/>
        </w:rPr>
        <w:t>; a moderate (no more than 20%) service effort is also acceptable.</w:t>
      </w:r>
      <w:r w:rsidR="00D83118" w:rsidRPr="00634DBB">
        <w:rPr>
          <w:rFonts w:asciiTheme="minorHAnsi" w:hAnsiTheme="minorHAnsi" w:cstheme="minorHAnsi"/>
          <w:bCs/>
          <w:szCs w:val="22"/>
        </w:rPr>
        <w:t xml:space="preserve"> </w:t>
      </w:r>
    </w:p>
    <w:p w14:paraId="05F33EAB" w14:textId="77777777" w:rsidR="00ED4FDB" w:rsidRPr="00634DBB" w:rsidRDefault="002C3D88" w:rsidP="00BD6AF0">
      <w:p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i/>
          <w:szCs w:val="22"/>
        </w:rPr>
        <w:t>A</w:t>
      </w:r>
      <w:r w:rsidR="00D83118" w:rsidRPr="00634DBB">
        <w:rPr>
          <w:rFonts w:asciiTheme="minorHAnsi" w:hAnsiTheme="minorHAnsi" w:cstheme="minorHAnsi"/>
          <w:bCs/>
          <w:i/>
          <w:szCs w:val="22"/>
        </w:rPr>
        <w:t>ppointmen</w:t>
      </w:r>
      <w:r w:rsidR="003D7BEB" w:rsidRPr="00634DBB">
        <w:rPr>
          <w:rFonts w:asciiTheme="minorHAnsi" w:hAnsiTheme="minorHAnsi" w:cstheme="minorHAnsi"/>
          <w:bCs/>
          <w:i/>
          <w:szCs w:val="22"/>
        </w:rPr>
        <w:t>t length</w:t>
      </w:r>
      <w:r w:rsidRPr="00634DBB">
        <w:rPr>
          <w:rFonts w:asciiTheme="minorHAnsi" w:hAnsiTheme="minorHAnsi" w:cstheme="minorHAnsi"/>
          <w:bCs/>
          <w:i/>
          <w:szCs w:val="22"/>
        </w:rPr>
        <w:t>s:</w:t>
      </w:r>
      <w:r w:rsidR="00ED4FDB" w:rsidRPr="00634DBB">
        <w:rPr>
          <w:rFonts w:asciiTheme="minorHAnsi" w:hAnsiTheme="minorHAnsi" w:cstheme="minorHAnsi"/>
          <w:bCs/>
          <w:i/>
          <w:szCs w:val="22"/>
        </w:rPr>
        <w:t xml:space="preserve"> between 1 semester and 3 years</w:t>
      </w:r>
      <w:r w:rsidR="00ED4FDB" w:rsidRPr="00634DBB">
        <w:rPr>
          <w:rFonts w:asciiTheme="minorHAnsi" w:hAnsiTheme="minorHAnsi" w:cstheme="minorHAnsi"/>
          <w:bCs/>
          <w:szCs w:val="22"/>
        </w:rPr>
        <w:t>.</w:t>
      </w:r>
      <w:r w:rsidR="003D7BEB" w:rsidRPr="00634DBB">
        <w:rPr>
          <w:rFonts w:asciiTheme="minorHAnsi" w:hAnsiTheme="minorHAnsi" w:cstheme="minorHAnsi"/>
          <w:bCs/>
          <w:szCs w:val="22"/>
        </w:rPr>
        <w:t xml:space="preserve"> </w:t>
      </w:r>
      <w:r w:rsidRPr="00634DBB">
        <w:rPr>
          <w:rFonts w:asciiTheme="minorHAnsi" w:hAnsiTheme="minorHAnsi" w:cstheme="minorHAnsi"/>
          <w:bCs/>
          <w:szCs w:val="22"/>
        </w:rPr>
        <w:t xml:space="preserve"> </w:t>
      </w:r>
    </w:p>
    <w:p w14:paraId="5FB7E176" w14:textId="77777777" w:rsidR="002C3D88" w:rsidRPr="00634DBB" w:rsidRDefault="002C3D88" w:rsidP="002C3D88">
      <w:pPr>
        <w:jc w:val="both"/>
        <w:rPr>
          <w:rFonts w:asciiTheme="minorHAnsi" w:hAnsiTheme="minorHAnsi" w:cstheme="minorHAnsi"/>
          <w:bCs/>
          <w:szCs w:val="22"/>
        </w:rPr>
      </w:pPr>
    </w:p>
    <w:p w14:paraId="2C5166AD" w14:textId="77777777" w:rsidR="00CB060D" w:rsidRPr="00634DBB" w:rsidRDefault="003D7BEB" w:rsidP="00CB060D">
      <w:pPr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Professors of Practice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 (</w:t>
      </w:r>
      <w:proofErr w:type="spellStart"/>
      <w:r w:rsidR="002C3D88" w:rsidRPr="00634DBB">
        <w:rPr>
          <w:rFonts w:asciiTheme="minorHAnsi" w:hAnsiTheme="minorHAnsi" w:cstheme="minorHAnsi"/>
          <w:bCs/>
          <w:szCs w:val="22"/>
        </w:rPr>
        <w:t>PoP</w:t>
      </w:r>
      <w:proofErr w:type="spellEnd"/>
      <w:r w:rsidR="002C3D88" w:rsidRPr="00634DBB">
        <w:rPr>
          <w:rFonts w:asciiTheme="minorHAnsi" w:hAnsiTheme="minorHAnsi" w:cstheme="minorHAnsi"/>
          <w:bCs/>
          <w:szCs w:val="22"/>
        </w:rPr>
        <w:t>)</w:t>
      </w:r>
      <w:r w:rsidRPr="00634DBB">
        <w:rPr>
          <w:rFonts w:asciiTheme="minorHAnsi" w:hAnsiTheme="minorHAnsi" w:cstheme="minorHAnsi"/>
          <w:bCs/>
          <w:szCs w:val="22"/>
        </w:rPr>
        <w:t xml:space="preserve"> (Assistant/Associate/</w:t>
      </w:r>
      <w:r w:rsidR="00CB060D" w:rsidRPr="00634DBB">
        <w:rPr>
          <w:rFonts w:asciiTheme="minorHAnsi" w:hAnsiTheme="minorHAnsi" w:cstheme="minorHAnsi"/>
          <w:bCs/>
          <w:szCs w:val="22"/>
        </w:rPr>
        <w:t>full</w:t>
      </w:r>
      <w:r w:rsidRPr="00634DBB">
        <w:rPr>
          <w:rFonts w:asciiTheme="minorHAnsi" w:hAnsiTheme="minorHAnsi" w:cstheme="minorHAnsi"/>
          <w:bCs/>
          <w:szCs w:val="22"/>
        </w:rPr>
        <w:t>)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: </w:t>
      </w:r>
      <w:proofErr w:type="spellStart"/>
      <w:r w:rsidR="002C3D88" w:rsidRPr="00634DBB">
        <w:rPr>
          <w:rFonts w:asciiTheme="minorHAnsi" w:hAnsiTheme="minorHAnsi" w:cstheme="minorHAnsi"/>
          <w:bCs/>
          <w:szCs w:val="22"/>
        </w:rPr>
        <w:t>PoPs</w:t>
      </w:r>
      <w:proofErr w:type="spellEnd"/>
      <w:r w:rsidRPr="00634DBB">
        <w:rPr>
          <w:rFonts w:asciiTheme="minorHAnsi" w:hAnsiTheme="minorHAnsi" w:cstheme="minorHAnsi"/>
          <w:bCs/>
          <w:szCs w:val="22"/>
        </w:rPr>
        <w:t xml:space="preserve"> are distinguished professional</w:t>
      </w:r>
      <w:r w:rsidR="00D83118" w:rsidRPr="00634DBB">
        <w:rPr>
          <w:rFonts w:asciiTheme="minorHAnsi" w:hAnsiTheme="minorHAnsi" w:cstheme="minorHAnsi"/>
          <w:bCs/>
          <w:szCs w:val="22"/>
        </w:rPr>
        <w:t>s</w:t>
      </w:r>
      <w:r w:rsidRPr="00634DBB">
        <w:rPr>
          <w:rFonts w:asciiTheme="minorHAnsi" w:hAnsiTheme="minorHAnsi" w:cstheme="minorHAnsi"/>
          <w:bCs/>
          <w:szCs w:val="22"/>
        </w:rPr>
        <w:t xml:space="preserve"> who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 can bring experiences from the workplace to the classroom, though they may</w:t>
      </w:r>
      <w:r w:rsidRPr="00634DBB">
        <w:rPr>
          <w:rFonts w:asciiTheme="minorHAnsi" w:hAnsiTheme="minorHAnsi" w:cstheme="minorHAnsi"/>
          <w:bCs/>
          <w:szCs w:val="22"/>
        </w:rPr>
        <w:t xml:space="preserve"> lack substantial academic experience prior to their initial appointment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. </w:t>
      </w:r>
      <w:r w:rsidR="00B05A4A" w:rsidRPr="00634DBB">
        <w:rPr>
          <w:rFonts w:asciiTheme="minorHAnsi" w:hAnsiTheme="minorHAnsi" w:cstheme="minorHAnsi"/>
          <w:bCs/>
          <w:szCs w:val="22"/>
        </w:rPr>
        <w:t>T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he primary responsibility of </w:t>
      </w:r>
      <w:proofErr w:type="spellStart"/>
      <w:r w:rsidR="002C3D88" w:rsidRPr="00634DBB">
        <w:rPr>
          <w:rFonts w:asciiTheme="minorHAnsi" w:hAnsiTheme="minorHAnsi" w:cstheme="minorHAnsi"/>
          <w:bCs/>
          <w:szCs w:val="22"/>
        </w:rPr>
        <w:t>PoPs</w:t>
      </w:r>
      <w:proofErr w:type="spellEnd"/>
      <w:r w:rsidR="00B05A4A" w:rsidRPr="00634DBB">
        <w:rPr>
          <w:rFonts w:asciiTheme="minorHAnsi" w:hAnsiTheme="minorHAnsi" w:cstheme="minorHAnsi"/>
          <w:bCs/>
          <w:szCs w:val="22"/>
        </w:rPr>
        <w:t xml:space="preserve"> is</w:t>
      </w:r>
      <w:r w:rsidR="002C3D88" w:rsidRPr="00634DBB">
        <w:rPr>
          <w:rFonts w:asciiTheme="minorHAnsi" w:hAnsiTheme="minorHAnsi" w:cstheme="minorHAnsi"/>
          <w:bCs/>
          <w:szCs w:val="22"/>
        </w:rPr>
        <w:t xml:space="preserve"> </w:t>
      </w:r>
      <w:r w:rsidRPr="00634DBB">
        <w:rPr>
          <w:rFonts w:asciiTheme="minorHAnsi" w:hAnsiTheme="minorHAnsi" w:cstheme="minorHAnsi"/>
          <w:bCs/>
          <w:szCs w:val="22"/>
        </w:rPr>
        <w:t>teach</w:t>
      </w:r>
      <w:r w:rsidR="002C3D88" w:rsidRPr="00634DBB">
        <w:rPr>
          <w:rFonts w:asciiTheme="minorHAnsi" w:hAnsiTheme="minorHAnsi" w:cstheme="minorHAnsi"/>
          <w:bCs/>
          <w:szCs w:val="22"/>
        </w:rPr>
        <w:t>ing</w:t>
      </w:r>
      <w:r w:rsidRPr="00634DBB">
        <w:rPr>
          <w:rFonts w:asciiTheme="minorHAnsi" w:hAnsiTheme="minorHAnsi" w:cstheme="minorHAnsi"/>
          <w:bCs/>
          <w:szCs w:val="22"/>
        </w:rPr>
        <w:t xml:space="preserve"> undergraduate cour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ses. </w:t>
      </w:r>
      <w:r w:rsidR="00B05A4A" w:rsidRPr="00634DBB">
        <w:rPr>
          <w:rFonts w:asciiTheme="minorHAnsi" w:hAnsiTheme="minorHAnsi" w:cstheme="minorHAnsi"/>
          <w:bCs/>
          <w:szCs w:val="22"/>
        </w:rPr>
        <w:t>The m</w:t>
      </w:r>
      <w:r w:rsidR="00CB060D" w:rsidRPr="00634DBB">
        <w:rPr>
          <w:rFonts w:asciiTheme="minorHAnsi" w:hAnsiTheme="minorHAnsi" w:cstheme="minorHAnsi"/>
          <w:bCs/>
          <w:szCs w:val="22"/>
        </w:rPr>
        <w:t>inimum teaching expectation</w:t>
      </w:r>
      <w:r w:rsidR="00B05A4A" w:rsidRPr="00634DBB">
        <w:rPr>
          <w:rFonts w:asciiTheme="minorHAnsi" w:hAnsiTheme="minorHAnsi" w:cstheme="minorHAnsi"/>
          <w:bCs/>
          <w:szCs w:val="22"/>
        </w:rPr>
        <w:t xml:space="preserve"> is 3/3 (60%); </w:t>
      </w:r>
      <w:r w:rsidR="00CB060D" w:rsidRPr="00634DBB">
        <w:rPr>
          <w:rFonts w:asciiTheme="minorHAnsi" w:hAnsiTheme="minorHAnsi" w:cstheme="minorHAnsi"/>
          <w:bCs/>
          <w:szCs w:val="22"/>
        </w:rPr>
        <w:t>up to 40% service effort can be considered if the service elevates the student experience.</w:t>
      </w:r>
      <w:r w:rsidR="00471711" w:rsidRPr="00634DBB">
        <w:rPr>
          <w:rFonts w:asciiTheme="minorHAnsi" w:hAnsiTheme="minorHAnsi" w:cstheme="minorHAnsi"/>
          <w:bCs/>
          <w:szCs w:val="22"/>
        </w:rPr>
        <w:t xml:space="preserve"> Depending on the needs of the unit, </w:t>
      </w:r>
      <w:proofErr w:type="spellStart"/>
      <w:r w:rsidR="00471711" w:rsidRPr="00634DBB">
        <w:rPr>
          <w:rFonts w:asciiTheme="minorHAnsi" w:hAnsiTheme="minorHAnsi" w:cstheme="minorHAnsi"/>
          <w:bCs/>
          <w:szCs w:val="22"/>
        </w:rPr>
        <w:t>PoPs</w:t>
      </w:r>
      <w:proofErr w:type="spellEnd"/>
      <w:r w:rsidR="00471711" w:rsidRPr="00634DBB">
        <w:rPr>
          <w:rFonts w:asciiTheme="minorHAnsi" w:hAnsiTheme="minorHAnsi" w:cstheme="minorHAnsi"/>
          <w:bCs/>
          <w:szCs w:val="22"/>
        </w:rPr>
        <w:t xml:space="preserve"> may have up to 20% research in their workload and/or some FTE for administration of specific programs, though these must be approved in advanced by the SBS Dean’s office.</w:t>
      </w:r>
    </w:p>
    <w:p w14:paraId="49DCC986" w14:textId="77777777" w:rsidR="00CB060D" w:rsidRPr="00634DBB" w:rsidRDefault="00CB060D" w:rsidP="00CB060D">
      <w:pPr>
        <w:jc w:val="both"/>
        <w:rPr>
          <w:rFonts w:asciiTheme="minorHAnsi" w:hAnsiTheme="minorHAnsi" w:cstheme="minorHAnsi"/>
          <w:bCs/>
          <w:i/>
          <w:szCs w:val="22"/>
        </w:rPr>
      </w:pPr>
      <w:r w:rsidRPr="00634DBB">
        <w:rPr>
          <w:rFonts w:asciiTheme="minorHAnsi" w:hAnsiTheme="minorHAnsi" w:cstheme="minorHAnsi"/>
          <w:bCs/>
          <w:i/>
          <w:szCs w:val="22"/>
        </w:rPr>
        <w:t xml:space="preserve">Appointment lengths: between 1 semester and 3 years.  </w:t>
      </w:r>
    </w:p>
    <w:p w14:paraId="362BE8E1" w14:textId="77777777" w:rsidR="002C3D88" w:rsidRPr="00634DBB" w:rsidRDefault="002C3D88" w:rsidP="002C3D88">
      <w:pPr>
        <w:jc w:val="both"/>
        <w:rPr>
          <w:rFonts w:asciiTheme="minorHAnsi" w:hAnsiTheme="minorHAnsi" w:cstheme="minorHAnsi"/>
          <w:bCs/>
          <w:szCs w:val="22"/>
        </w:rPr>
      </w:pPr>
    </w:p>
    <w:p w14:paraId="4D91D95A" w14:textId="77777777" w:rsidR="00CB060D" w:rsidRPr="00634DBB" w:rsidRDefault="003D7BEB" w:rsidP="00ED4FDB">
      <w:pPr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Research Professors (Assistant/Associate/</w:t>
      </w:r>
      <w:r w:rsidR="00CB060D" w:rsidRPr="00634DBB">
        <w:rPr>
          <w:rFonts w:asciiTheme="minorHAnsi" w:hAnsiTheme="minorHAnsi" w:cstheme="minorHAnsi"/>
          <w:bCs/>
          <w:szCs w:val="22"/>
        </w:rPr>
        <w:t>f</w:t>
      </w:r>
      <w:r w:rsidRPr="00634DBB">
        <w:rPr>
          <w:rFonts w:asciiTheme="minorHAnsi" w:hAnsiTheme="minorHAnsi" w:cstheme="minorHAnsi"/>
          <w:bCs/>
          <w:szCs w:val="22"/>
        </w:rPr>
        <w:t>ull) oversee a signi</w:t>
      </w:r>
      <w:r w:rsidR="00ED4FDB" w:rsidRPr="00634DBB">
        <w:rPr>
          <w:rFonts w:asciiTheme="minorHAnsi" w:hAnsiTheme="minorHAnsi" w:cstheme="minorHAnsi"/>
          <w:bCs/>
          <w:szCs w:val="22"/>
        </w:rPr>
        <w:t>ficant area of research, and have</w:t>
      </w:r>
      <w:r w:rsidRPr="00634DBB">
        <w:rPr>
          <w:rFonts w:asciiTheme="minorHAnsi" w:hAnsiTheme="minorHAnsi" w:cstheme="minorHAnsi"/>
          <w:bCs/>
          <w:szCs w:val="22"/>
        </w:rPr>
        <w:t xml:space="preserve"> distinguished themselve</w:t>
      </w:r>
      <w:r w:rsidR="00D83118" w:rsidRPr="00634DBB">
        <w:rPr>
          <w:rFonts w:asciiTheme="minorHAnsi" w:hAnsiTheme="minorHAnsi" w:cstheme="minorHAnsi"/>
          <w:bCs/>
          <w:szCs w:val="22"/>
        </w:rPr>
        <w:t>s</w:t>
      </w:r>
      <w:r w:rsidRPr="00634DBB">
        <w:rPr>
          <w:rFonts w:asciiTheme="minorHAnsi" w:hAnsiTheme="minorHAnsi" w:cstheme="minorHAnsi"/>
          <w:bCs/>
          <w:szCs w:val="22"/>
        </w:rPr>
        <w:t xml:space="preserve"> by expertise, ach</w:t>
      </w:r>
      <w:r w:rsidR="00D83118" w:rsidRPr="00634DBB">
        <w:rPr>
          <w:rFonts w:asciiTheme="minorHAnsi" w:hAnsiTheme="minorHAnsi" w:cstheme="minorHAnsi"/>
          <w:bCs/>
          <w:szCs w:val="22"/>
        </w:rPr>
        <w:t>i</w:t>
      </w:r>
      <w:r w:rsidRPr="00634DBB">
        <w:rPr>
          <w:rFonts w:asciiTheme="minorHAnsi" w:hAnsiTheme="minorHAnsi" w:cstheme="minorHAnsi"/>
          <w:bCs/>
          <w:szCs w:val="22"/>
        </w:rPr>
        <w:t>evements, and reputation</w:t>
      </w:r>
      <w:r w:rsidR="00CB060D" w:rsidRPr="00634DBB">
        <w:rPr>
          <w:rFonts w:asciiTheme="minorHAnsi" w:hAnsiTheme="minorHAnsi" w:cstheme="minorHAnsi"/>
          <w:bCs/>
          <w:szCs w:val="22"/>
        </w:rPr>
        <w:t>.</w:t>
      </w:r>
    </w:p>
    <w:p w14:paraId="6F4C34D3" w14:textId="77777777" w:rsidR="00ED4FDB" w:rsidRPr="00634DBB" w:rsidRDefault="00CB060D" w:rsidP="00CB060D">
      <w:pPr>
        <w:jc w:val="both"/>
        <w:rPr>
          <w:rFonts w:asciiTheme="minorHAnsi" w:hAnsiTheme="minorHAnsi" w:cstheme="minorHAnsi"/>
          <w:bCs/>
          <w:i/>
          <w:szCs w:val="22"/>
        </w:rPr>
      </w:pPr>
      <w:r w:rsidRPr="00634DBB">
        <w:rPr>
          <w:rFonts w:asciiTheme="minorHAnsi" w:hAnsiTheme="minorHAnsi" w:cstheme="minorHAnsi"/>
          <w:bCs/>
          <w:i/>
          <w:szCs w:val="22"/>
        </w:rPr>
        <w:t xml:space="preserve">Appointment lengths: between 1 semester and 3 years.  </w:t>
      </w:r>
    </w:p>
    <w:p w14:paraId="59936867" w14:textId="77777777" w:rsidR="00B05A4A" w:rsidRPr="00634DBB" w:rsidRDefault="00B05A4A" w:rsidP="00CB060D">
      <w:pPr>
        <w:jc w:val="both"/>
        <w:rPr>
          <w:rFonts w:asciiTheme="minorHAnsi" w:hAnsiTheme="minorHAnsi" w:cstheme="minorHAnsi"/>
          <w:bCs/>
          <w:i/>
          <w:szCs w:val="22"/>
        </w:rPr>
      </w:pPr>
    </w:p>
    <w:p w14:paraId="07192B09" w14:textId="77777777" w:rsidR="00B05A4A" w:rsidRPr="00634DBB" w:rsidRDefault="003E5813" w:rsidP="00B05A4A">
      <w:pPr>
        <w:ind w:left="-36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In addition to the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B05A4A" w:rsidRPr="00634DBB">
        <w:rPr>
          <w:rFonts w:asciiTheme="minorHAnsi" w:hAnsiTheme="minorHAnsi" w:cstheme="minorHAnsi"/>
          <w:bCs/>
          <w:szCs w:val="22"/>
        </w:rPr>
        <w:t xml:space="preserve">faculty titles identified in UHAP and utilized by SBS (Instructor, Lecturer, Professor of Practice, Research Professor), the College also houses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B05A4A" w:rsidRPr="00634DBB">
        <w:rPr>
          <w:rFonts w:asciiTheme="minorHAnsi" w:hAnsiTheme="minorHAnsi" w:cstheme="minorHAnsi"/>
          <w:bCs/>
          <w:szCs w:val="22"/>
        </w:rPr>
        <w:t xml:space="preserve">faculty members with Assistant, Associate, and (full) Professor titles. </w:t>
      </w:r>
    </w:p>
    <w:p w14:paraId="6B94B628" w14:textId="77777777" w:rsidR="00B05A4A" w:rsidRPr="00634DBB" w:rsidRDefault="00B05A4A" w:rsidP="00B05A4A">
      <w:pPr>
        <w:ind w:left="-360"/>
        <w:jc w:val="both"/>
        <w:rPr>
          <w:rFonts w:asciiTheme="minorHAnsi" w:hAnsiTheme="minorHAnsi" w:cstheme="minorHAnsi"/>
          <w:bCs/>
          <w:szCs w:val="22"/>
        </w:rPr>
      </w:pPr>
    </w:p>
    <w:p w14:paraId="431D1E15" w14:textId="77777777" w:rsidR="00CB060D" w:rsidRPr="00634DBB" w:rsidRDefault="00B17D82" w:rsidP="00CB060D">
      <w:pPr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Career-Track</w:t>
      </w:r>
      <w:r w:rsidR="00011D97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3D7BEB" w:rsidRPr="00634DBB">
        <w:rPr>
          <w:rFonts w:asciiTheme="minorHAnsi" w:hAnsiTheme="minorHAnsi" w:cstheme="minorHAnsi"/>
          <w:bCs/>
          <w:szCs w:val="22"/>
        </w:rPr>
        <w:t>Professors</w:t>
      </w:r>
      <w:r w:rsidR="003E5813" w:rsidRPr="00634DBB">
        <w:rPr>
          <w:rFonts w:asciiTheme="minorHAnsi" w:hAnsiTheme="minorHAnsi" w:cstheme="minorHAnsi"/>
          <w:bCs/>
          <w:szCs w:val="22"/>
        </w:rPr>
        <w:t xml:space="preserve">: </w:t>
      </w:r>
      <w:r w:rsidRPr="00634DBB">
        <w:rPr>
          <w:rFonts w:asciiTheme="minorHAnsi" w:hAnsiTheme="minorHAnsi" w:cstheme="minorHAnsi"/>
          <w:bCs/>
          <w:szCs w:val="22"/>
        </w:rPr>
        <w:t>Career-Track</w:t>
      </w:r>
      <w:r w:rsidR="003E5813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CB060D" w:rsidRPr="00634DBB">
        <w:rPr>
          <w:rFonts w:asciiTheme="minorHAnsi" w:hAnsiTheme="minorHAnsi" w:cstheme="minorHAnsi"/>
          <w:bCs/>
          <w:szCs w:val="22"/>
        </w:rPr>
        <w:t>Professors (Assistant, Associate, full)</w:t>
      </w:r>
      <w:r w:rsidR="003D7BEB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CB060D" w:rsidRPr="00634DBB">
        <w:rPr>
          <w:rFonts w:asciiTheme="minorHAnsi" w:hAnsiTheme="minorHAnsi" w:cstheme="minorHAnsi"/>
          <w:bCs/>
          <w:szCs w:val="22"/>
        </w:rPr>
        <w:t>are faculty whose expertise may stem from either academ</w:t>
      </w:r>
      <w:r w:rsidR="003E5813" w:rsidRPr="00634DBB">
        <w:rPr>
          <w:rFonts w:asciiTheme="minorHAnsi" w:hAnsiTheme="minorHAnsi" w:cstheme="minorHAnsi"/>
          <w:bCs/>
          <w:szCs w:val="22"/>
        </w:rPr>
        <w:t xml:space="preserve">ic or professional settings. </w:t>
      </w:r>
      <w:r w:rsidRPr="00634DBB">
        <w:rPr>
          <w:rFonts w:asciiTheme="minorHAnsi" w:hAnsiTheme="minorHAnsi" w:cstheme="minorHAnsi"/>
          <w:bCs/>
          <w:szCs w:val="22"/>
        </w:rPr>
        <w:t>Career-Track</w:t>
      </w:r>
      <w:r w:rsidR="003E5813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CB060D" w:rsidRPr="00634DBB">
        <w:rPr>
          <w:rFonts w:asciiTheme="minorHAnsi" w:hAnsiTheme="minorHAnsi" w:cstheme="minorHAnsi"/>
          <w:bCs/>
          <w:szCs w:val="22"/>
        </w:rPr>
        <w:t>Professors at all ranks must demonstrate training, depth of knowledge in a particular specialty, and capacity to u</w:t>
      </w:r>
      <w:r w:rsidR="00880FBA" w:rsidRPr="00634DBB">
        <w:rPr>
          <w:rFonts w:asciiTheme="minorHAnsi" w:hAnsiTheme="minorHAnsi" w:cstheme="minorHAnsi"/>
          <w:bCs/>
          <w:szCs w:val="22"/>
        </w:rPr>
        <w:t>ndertake high-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quality teaching </w:t>
      </w:r>
      <w:r w:rsidR="00880FBA" w:rsidRPr="00634DBB">
        <w:rPr>
          <w:rFonts w:asciiTheme="minorHAnsi" w:hAnsiTheme="minorHAnsi" w:cstheme="minorHAnsi"/>
          <w:bCs/>
          <w:szCs w:val="22"/>
        </w:rPr>
        <w:t>and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 service. </w:t>
      </w:r>
      <w:r w:rsidR="003E5813" w:rsidRPr="00634DBB">
        <w:rPr>
          <w:rFonts w:asciiTheme="minorHAnsi" w:hAnsiTheme="minorHAnsi" w:cstheme="minorHAnsi"/>
          <w:bCs/>
          <w:szCs w:val="22"/>
        </w:rPr>
        <w:t xml:space="preserve">For </w:t>
      </w:r>
      <w:r w:rsidRPr="00634DBB">
        <w:rPr>
          <w:rFonts w:asciiTheme="minorHAnsi" w:hAnsiTheme="minorHAnsi" w:cstheme="minorHAnsi"/>
          <w:bCs/>
          <w:szCs w:val="22"/>
        </w:rPr>
        <w:t>Career-Track</w:t>
      </w:r>
      <w:r w:rsidR="003E5813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880FBA" w:rsidRPr="00634DBB">
        <w:rPr>
          <w:rFonts w:asciiTheme="minorHAnsi" w:hAnsiTheme="minorHAnsi" w:cstheme="minorHAnsi"/>
          <w:bCs/>
          <w:szCs w:val="22"/>
        </w:rPr>
        <w:t>Professors in units that offer graduate and undergraduate courses,</w:t>
      </w:r>
      <w:r w:rsidR="00B05A4A" w:rsidRPr="00634DBB">
        <w:rPr>
          <w:rFonts w:asciiTheme="minorHAnsi" w:hAnsiTheme="minorHAnsi" w:cstheme="minorHAnsi"/>
          <w:bCs/>
          <w:szCs w:val="22"/>
        </w:rPr>
        <w:t xml:space="preserve"> the</w:t>
      </w:r>
      <w:r w:rsidR="00880FBA" w:rsidRPr="00634DBB">
        <w:rPr>
          <w:rFonts w:asciiTheme="minorHAnsi" w:hAnsiTheme="minorHAnsi" w:cstheme="minorHAnsi"/>
          <w:bCs/>
          <w:szCs w:val="22"/>
        </w:rPr>
        <w:t xml:space="preserve"> m</w:t>
      </w:r>
      <w:r w:rsidR="00CB060D" w:rsidRPr="00634DBB">
        <w:rPr>
          <w:rFonts w:asciiTheme="minorHAnsi" w:hAnsiTheme="minorHAnsi" w:cstheme="minorHAnsi"/>
          <w:bCs/>
          <w:szCs w:val="22"/>
        </w:rPr>
        <w:t>inimum tea</w:t>
      </w:r>
      <w:r w:rsidR="00880FBA" w:rsidRPr="00634DBB">
        <w:rPr>
          <w:rFonts w:asciiTheme="minorHAnsi" w:hAnsiTheme="minorHAnsi" w:cstheme="minorHAnsi"/>
          <w:bCs/>
          <w:szCs w:val="22"/>
        </w:rPr>
        <w:t xml:space="preserve">ching expectation is 3/3 (60%); 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up to 40% service effort </w:t>
      </w:r>
      <w:r w:rsidR="00880FBA" w:rsidRPr="00634DBB">
        <w:rPr>
          <w:rFonts w:asciiTheme="minorHAnsi" w:hAnsiTheme="minorHAnsi" w:cstheme="minorHAnsi"/>
          <w:bCs/>
          <w:szCs w:val="22"/>
        </w:rPr>
        <w:t>may</w:t>
      </w:r>
      <w:r w:rsidR="00CB060D" w:rsidRPr="00634DBB">
        <w:rPr>
          <w:rFonts w:asciiTheme="minorHAnsi" w:hAnsiTheme="minorHAnsi" w:cstheme="minorHAnsi"/>
          <w:bCs/>
          <w:szCs w:val="22"/>
        </w:rPr>
        <w:t xml:space="preserve"> be considered if the service elevates the student experience.</w:t>
      </w:r>
      <w:r w:rsidR="00471711" w:rsidRPr="00634DBB">
        <w:rPr>
          <w:rFonts w:asciiTheme="minorHAnsi" w:hAnsiTheme="minorHAnsi" w:cstheme="minorHAnsi"/>
          <w:bCs/>
          <w:szCs w:val="22"/>
        </w:rPr>
        <w:t xml:space="preserve"> Depending on the needs of the unit, CT Professors (any rank) may have up to 20% research in their workload and/or some FTE for administration of specific programs, though these must be approved in advanced by the SBS Dean’s office.</w:t>
      </w:r>
    </w:p>
    <w:p w14:paraId="4F17E7B7" w14:textId="77777777" w:rsidR="00CB060D" w:rsidRPr="00634DBB" w:rsidRDefault="00CB060D" w:rsidP="00CB060D">
      <w:pPr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i/>
          <w:szCs w:val="22"/>
        </w:rPr>
        <w:t>Appointment lengths: between 1 semester and 3 years</w:t>
      </w:r>
      <w:r w:rsidRPr="00634DBB">
        <w:rPr>
          <w:rFonts w:asciiTheme="minorHAnsi" w:hAnsiTheme="minorHAnsi" w:cstheme="minorHAnsi"/>
          <w:bCs/>
          <w:szCs w:val="22"/>
        </w:rPr>
        <w:t xml:space="preserve">.  </w:t>
      </w:r>
    </w:p>
    <w:p w14:paraId="63213A62" w14:textId="77777777" w:rsidR="00E76B16" w:rsidRPr="00634DBB" w:rsidRDefault="00E76B16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0CC9B8D1" w14:textId="77777777" w:rsidR="00AB57D6" w:rsidRPr="00634DBB" w:rsidRDefault="00AB57D6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38F8CDA7" w14:textId="77777777" w:rsidR="00634DBB" w:rsidRDefault="00634DBB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31C3DD07" w14:textId="6699E526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/>
          <w:bCs/>
          <w:szCs w:val="22"/>
        </w:rPr>
      </w:pPr>
      <w:r w:rsidRPr="00634DBB">
        <w:rPr>
          <w:rFonts w:asciiTheme="minorHAnsi" w:hAnsiTheme="minorHAnsi" w:cstheme="minorHAnsi"/>
          <w:b/>
          <w:bCs/>
          <w:szCs w:val="22"/>
        </w:rPr>
        <w:lastRenderedPageBreak/>
        <w:t>SBS PROCEDURAL GUIDELINES FOR HIRING, REVIEW</w:t>
      </w:r>
      <w:r w:rsidR="00471711" w:rsidRPr="00634DBB">
        <w:rPr>
          <w:rFonts w:asciiTheme="minorHAnsi" w:hAnsiTheme="minorHAnsi" w:cstheme="minorHAnsi"/>
          <w:b/>
          <w:bCs/>
          <w:szCs w:val="22"/>
        </w:rPr>
        <w:t>,</w:t>
      </w:r>
      <w:r w:rsidRPr="00634DBB">
        <w:rPr>
          <w:rFonts w:asciiTheme="minorHAnsi" w:hAnsiTheme="minorHAnsi" w:cstheme="minorHAnsi"/>
          <w:b/>
          <w:bCs/>
          <w:szCs w:val="22"/>
        </w:rPr>
        <w:t xml:space="preserve"> AND RENEWAL OF </w:t>
      </w:r>
      <w:r w:rsidR="00B17D82" w:rsidRPr="00634DBB">
        <w:rPr>
          <w:rFonts w:asciiTheme="minorHAnsi" w:hAnsiTheme="minorHAnsi" w:cstheme="minorHAnsi"/>
          <w:b/>
          <w:bCs/>
          <w:szCs w:val="22"/>
        </w:rPr>
        <w:t>CAREER-TRACK</w:t>
      </w:r>
      <w:r w:rsidRPr="00634DBB">
        <w:rPr>
          <w:rFonts w:asciiTheme="minorHAnsi" w:hAnsiTheme="minorHAnsi" w:cstheme="minorHAnsi"/>
          <w:b/>
          <w:bCs/>
          <w:szCs w:val="22"/>
        </w:rPr>
        <w:t xml:space="preserve"> FACULTY</w:t>
      </w:r>
    </w:p>
    <w:p w14:paraId="42032ABD" w14:textId="77777777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0E8B5C4C" w14:textId="77777777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1. </w:t>
      </w:r>
      <w:r w:rsidRPr="00634DBB">
        <w:rPr>
          <w:rFonts w:asciiTheme="minorHAnsi" w:hAnsiTheme="minorHAnsi" w:cstheme="minorHAnsi"/>
          <w:bCs/>
          <w:i/>
          <w:szCs w:val="22"/>
        </w:rPr>
        <w:t xml:space="preserve">HIRING </w:t>
      </w:r>
      <w:r w:rsidR="00B17D82" w:rsidRPr="00634DBB">
        <w:rPr>
          <w:rFonts w:asciiTheme="minorHAnsi" w:hAnsiTheme="minorHAnsi" w:cstheme="minorHAnsi"/>
          <w:bCs/>
          <w:i/>
          <w:szCs w:val="22"/>
        </w:rPr>
        <w:t>CAREER-TRACK</w:t>
      </w:r>
      <w:r w:rsidRPr="00634DBB">
        <w:rPr>
          <w:rFonts w:asciiTheme="minorHAnsi" w:hAnsiTheme="minorHAnsi" w:cstheme="minorHAnsi"/>
          <w:bCs/>
          <w:i/>
          <w:szCs w:val="22"/>
        </w:rPr>
        <w:t xml:space="preserve"> FACULTY</w:t>
      </w:r>
      <w:r w:rsidRPr="00634DBB">
        <w:rPr>
          <w:rFonts w:asciiTheme="minorHAnsi" w:hAnsiTheme="minorHAnsi" w:cstheme="minorHAnsi"/>
          <w:bCs/>
          <w:szCs w:val="22"/>
        </w:rPr>
        <w:t xml:space="preserve"> </w:t>
      </w:r>
    </w:p>
    <w:p w14:paraId="1360759A" w14:textId="77777777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768C4BF1" w14:textId="77777777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All SBS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Pr="00634DBB">
        <w:rPr>
          <w:rFonts w:asciiTheme="minorHAnsi" w:hAnsiTheme="minorHAnsi" w:cstheme="minorHAnsi"/>
          <w:bCs/>
          <w:szCs w:val="22"/>
        </w:rPr>
        <w:t xml:space="preserve"> faculty letters of appointment must include a formula for annual evaluations based on an established workload allocation plan approved by the Dean’s office. The following components must be included in the workload allocation plan:</w:t>
      </w:r>
    </w:p>
    <w:p w14:paraId="7F4A42D3" w14:textId="77777777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5EF2969B" w14:textId="77777777" w:rsidR="00150504" w:rsidRPr="00634DBB" w:rsidRDefault="00150504" w:rsidP="00F87EEB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a defined expectation of “teaching load,” with workload be calculated at .10FTE per 3-unit course</w:t>
      </w:r>
      <w:r w:rsidR="00AD6E7C" w:rsidRPr="00634DBB">
        <w:rPr>
          <w:rFonts w:asciiTheme="minorHAnsi" w:hAnsiTheme="minorHAnsi" w:cstheme="minorHAnsi"/>
          <w:bCs/>
          <w:szCs w:val="22"/>
        </w:rPr>
        <w:t>, unless specifically agreed upon with the Dean’s office in advanced</w:t>
      </w:r>
      <w:r w:rsidRPr="00634DBB">
        <w:rPr>
          <w:rFonts w:asciiTheme="minorHAnsi" w:hAnsiTheme="minorHAnsi" w:cstheme="minorHAnsi"/>
          <w:bCs/>
          <w:szCs w:val="22"/>
        </w:rPr>
        <w:t xml:space="preserve">. </w:t>
      </w:r>
    </w:p>
    <w:p w14:paraId="1B889F30" w14:textId="77777777" w:rsidR="00F87EEB" w:rsidRPr="00634DBB" w:rsidRDefault="00F87EEB" w:rsidP="00F87EEB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a defined expectation of non-teaching duties, such as service to the unit, college, campus, or discipline</w:t>
      </w:r>
      <w:r w:rsidR="00150504" w:rsidRPr="00634DBB">
        <w:rPr>
          <w:rFonts w:asciiTheme="minorHAnsi" w:hAnsiTheme="minorHAnsi" w:cstheme="minorHAnsi"/>
          <w:bCs/>
          <w:szCs w:val="22"/>
        </w:rPr>
        <w:t>, if applicable</w:t>
      </w:r>
      <w:r w:rsidRPr="00634DBB">
        <w:rPr>
          <w:rFonts w:asciiTheme="minorHAnsi" w:hAnsiTheme="minorHAnsi" w:cstheme="minorHAnsi"/>
          <w:bCs/>
          <w:szCs w:val="22"/>
        </w:rPr>
        <w:t>.</w:t>
      </w:r>
    </w:p>
    <w:p w14:paraId="634FB6F9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76B34BEC" w14:textId="77777777" w:rsidR="00B31BCC" w:rsidRPr="00634DBB" w:rsidRDefault="00EA5C16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2. </w:t>
      </w:r>
      <w:r w:rsidRPr="00634DBB">
        <w:rPr>
          <w:rFonts w:asciiTheme="minorHAnsi" w:hAnsiTheme="minorHAnsi" w:cstheme="minorHAnsi"/>
          <w:bCs/>
          <w:i/>
          <w:szCs w:val="22"/>
        </w:rPr>
        <w:t xml:space="preserve">REVIEW and </w:t>
      </w:r>
      <w:r w:rsidR="00B31BCC" w:rsidRPr="00634DBB">
        <w:rPr>
          <w:rFonts w:asciiTheme="minorHAnsi" w:hAnsiTheme="minorHAnsi" w:cstheme="minorHAnsi"/>
          <w:bCs/>
          <w:i/>
          <w:szCs w:val="22"/>
        </w:rPr>
        <w:t xml:space="preserve">RENEWAL OF </w:t>
      </w:r>
      <w:r w:rsidR="00B17D82" w:rsidRPr="00634DBB">
        <w:rPr>
          <w:rFonts w:asciiTheme="minorHAnsi" w:hAnsiTheme="minorHAnsi" w:cstheme="minorHAnsi"/>
          <w:bCs/>
          <w:i/>
          <w:szCs w:val="22"/>
        </w:rPr>
        <w:t>CAREER-TRACK</w:t>
      </w:r>
      <w:r w:rsidR="00B31BCC" w:rsidRPr="00634DBB">
        <w:rPr>
          <w:rFonts w:asciiTheme="minorHAnsi" w:hAnsiTheme="minorHAnsi" w:cstheme="minorHAnsi"/>
          <w:bCs/>
          <w:i/>
          <w:szCs w:val="22"/>
        </w:rPr>
        <w:t xml:space="preserve"> FACULTY</w:t>
      </w:r>
    </w:p>
    <w:p w14:paraId="5774A3E7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30C0C8D5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Each unit employing one or more </w:t>
      </w:r>
      <w:r w:rsidR="00B17D82" w:rsidRPr="00634DBB">
        <w:rPr>
          <w:rFonts w:asciiTheme="minorHAnsi" w:hAnsiTheme="minorHAnsi" w:cstheme="minorHAnsi"/>
          <w:bCs/>
          <w:szCs w:val="22"/>
        </w:rPr>
        <w:t>Career-Track</w:t>
      </w:r>
      <w:r w:rsidRPr="00634DBB">
        <w:rPr>
          <w:rFonts w:asciiTheme="minorHAnsi" w:hAnsiTheme="minorHAnsi" w:cstheme="minorHAnsi"/>
          <w:bCs/>
          <w:szCs w:val="22"/>
        </w:rPr>
        <w:t xml:space="preserve"> faculty is required to adopt a formal set of criteria to be applied during the unit’s annual performance evaluation. The criteria should articulate how performance is evaluated and include a statement representing whether and how renewal, which is always contingent upon instructional needs and availability of funding, is determined.</w:t>
      </w:r>
    </w:p>
    <w:p w14:paraId="6EE56D24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7298EF24" w14:textId="77777777" w:rsidR="00B31BCC" w:rsidRPr="00634DBB" w:rsidRDefault="00B31BCC" w:rsidP="00F87EEB">
      <w:pPr>
        <w:ind w:left="-450"/>
        <w:jc w:val="both"/>
        <w:rPr>
          <w:rFonts w:asciiTheme="minorHAnsi" w:hAnsiTheme="minorHAnsi" w:cstheme="minorHAnsi"/>
          <w:b/>
          <w:bCs/>
          <w:szCs w:val="22"/>
        </w:rPr>
      </w:pPr>
      <w:r w:rsidRPr="00634DBB">
        <w:rPr>
          <w:rFonts w:asciiTheme="minorHAnsi" w:hAnsiTheme="minorHAnsi" w:cstheme="minorHAnsi"/>
          <w:b/>
          <w:bCs/>
          <w:szCs w:val="22"/>
        </w:rPr>
        <w:t>Review</w:t>
      </w:r>
    </w:p>
    <w:p w14:paraId="701B3C06" w14:textId="77777777" w:rsidR="00B31BCC" w:rsidRPr="00634DBB" w:rsidRDefault="00B31BCC" w:rsidP="00F87EEB">
      <w:pPr>
        <w:ind w:left="-450"/>
        <w:jc w:val="both"/>
        <w:rPr>
          <w:rFonts w:asciiTheme="minorHAnsi" w:hAnsiTheme="minorHAnsi" w:cstheme="minorHAnsi"/>
          <w:bCs/>
          <w:szCs w:val="22"/>
        </w:rPr>
      </w:pPr>
    </w:p>
    <w:p w14:paraId="5FDAAD6F" w14:textId="77777777" w:rsidR="00B31BCC" w:rsidRPr="00634DBB" w:rsidRDefault="00B17D82" w:rsidP="00F87EEB">
      <w:pPr>
        <w:ind w:left="-45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Career-Track</w:t>
      </w:r>
      <w:r w:rsidR="00B31BCC" w:rsidRPr="00634DBB">
        <w:rPr>
          <w:rFonts w:asciiTheme="minorHAnsi" w:hAnsiTheme="minorHAnsi" w:cstheme="minorHAnsi"/>
          <w:bCs/>
          <w:szCs w:val="22"/>
        </w:rPr>
        <w:t xml:space="preserve"> faculty</w:t>
      </w:r>
      <w:r w:rsidR="00E73781" w:rsidRPr="00634DBB">
        <w:rPr>
          <w:rFonts w:asciiTheme="minorHAnsi" w:hAnsiTheme="minorHAnsi" w:cstheme="minorHAnsi"/>
          <w:bCs/>
          <w:szCs w:val="22"/>
        </w:rPr>
        <w:t>, regardless of contract length</w:t>
      </w:r>
      <w:r w:rsidR="00BD6AF0" w:rsidRPr="00634DBB">
        <w:rPr>
          <w:rFonts w:asciiTheme="minorHAnsi" w:hAnsiTheme="minorHAnsi" w:cstheme="minorHAnsi"/>
          <w:bCs/>
          <w:szCs w:val="22"/>
        </w:rPr>
        <w:t xml:space="preserve"> or title</w:t>
      </w:r>
      <w:r w:rsidR="00E73781" w:rsidRPr="00634DBB">
        <w:rPr>
          <w:rFonts w:asciiTheme="minorHAnsi" w:hAnsiTheme="minorHAnsi" w:cstheme="minorHAnsi"/>
          <w:bCs/>
          <w:szCs w:val="22"/>
        </w:rPr>
        <w:t>,</w:t>
      </w:r>
      <w:r w:rsidR="00B31BCC" w:rsidRPr="00634DBB">
        <w:rPr>
          <w:rFonts w:asciiTheme="minorHAnsi" w:hAnsiTheme="minorHAnsi" w:cstheme="minorHAnsi"/>
          <w:bCs/>
          <w:szCs w:val="22"/>
        </w:rPr>
        <w:t xml:space="preserve"> must complete an annual </w:t>
      </w:r>
      <w:r w:rsidR="004C58C0" w:rsidRPr="00634DBB">
        <w:rPr>
          <w:rFonts w:asciiTheme="minorHAnsi" w:hAnsiTheme="minorHAnsi" w:cstheme="minorHAnsi"/>
          <w:bCs/>
          <w:szCs w:val="22"/>
        </w:rPr>
        <w:t>performance review, which is to include a letter of evaluation and a statement of progress toward renewal of the contract</w:t>
      </w:r>
      <w:r w:rsidR="00E26299" w:rsidRPr="00634DBB">
        <w:rPr>
          <w:rFonts w:asciiTheme="minorHAnsi" w:hAnsiTheme="minorHAnsi" w:cstheme="minorHAnsi"/>
          <w:bCs/>
          <w:szCs w:val="22"/>
        </w:rPr>
        <w:t xml:space="preserve"> from the unit head</w:t>
      </w:r>
      <w:r w:rsidR="004C58C0" w:rsidRPr="00634DBB">
        <w:rPr>
          <w:rFonts w:asciiTheme="minorHAnsi" w:hAnsiTheme="minorHAnsi" w:cstheme="minorHAnsi"/>
          <w:bCs/>
          <w:szCs w:val="22"/>
        </w:rPr>
        <w:t xml:space="preserve">. Materials </w:t>
      </w:r>
      <w:r w:rsidR="00471711" w:rsidRPr="00634DBB">
        <w:rPr>
          <w:rFonts w:asciiTheme="minorHAnsi" w:hAnsiTheme="minorHAnsi" w:cstheme="minorHAnsi"/>
          <w:bCs/>
          <w:szCs w:val="22"/>
        </w:rPr>
        <w:t xml:space="preserve">should be submitted through </w:t>
      </w:r>
      <w:r w:rsidR="00EA5C16" w:rsidRPr="00634DBB">
        <w:rPr>
          <w:rFonts w:asciiTheme="minorHAnsi" w:hAnsiTheme="minorHAnsi" w:cstheme="minorHAnsi"/>
          <w:bCs/>
          <w:i/>
          <w:szCs w:val="22"/>
        </w:rPr>
        <w:t>UA Vitae,</w:t>
      </w:r>
      <w:r w:rsidR="00EA5C16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471711" w:rsidRPr="00634DBB">
        <w:rPr>
          <w:rFonts w:asciiTheme="minorHAnsi" w:hAnsiTheme="minorHAnsi" w:cstheme="minorHAnsi"/>
          <w:bCs/>
          <w:szCs w:val="22"/>
        </w:rPr>
        <w:t>the</w:t>
      </w:r>
      <w:r w:rsidR="003041FB"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4C58C0" w:rsidRPr="00634DBB">
        <w:rPr>
          <w:rFonts w:asciiTheme="minorHAnsi" w:hAnsiTheme="minorHAnsi" w:cstheme="minorHAnsi"/>
          <w:bCs/>
          <w:szCs w:val="22"/>
        </w:rPr>
        <w:t xml:space="preserve">UA’s online reporting </w:t>
      </w:r>
      <w:proofErr w:type="gramStart"/>
      <w:r w:rsidR="004C58C0" w:rsidRPr="00634DBB">
        <w:rPr>
          <w:rFonts w:asciiTheme="minorHAnsi" w:hAnsiTheme="minorHAnsi" w:cstheme="minorHAnsi"/>
          <w:bCs/>
          <w:szCs w:val="22"/>
        </w:rPr>
        <w:t>system,</w:t>
      </w:r>
      <w:r w:rsidR="00471711" w:rsidRPr="00634DBB">
        <w:rPr>
          <w:rFonts w:asciiTheme="minorHAnsi" w:hAnsiTheme="minorHAnsi" w:cstheme="minorHAnsi"/>
          <w:bCs/>
          <w:szCs w:val="22"/>
        </w:rPr>
        <w:t>.</w:t>
      </w:r>
      <w:proofErr w:type="gramEnd"/>
      <w:r w:rsidR="004C58C0" w:rsidRPr="00634DBB">
        <w:rPr>
          <w:rFonts w:asciiTheme="minorHAnsi" w:hAnsiTheme="minorHAnsi" w:cstheme="minorHAnsi"/>
          <w:bCs/>
          <w:szCs w:val="22"/>
        </w:rPr>
        <w:t xml:space="preserve"> </w:t>
      </w:r>
    </w:p>
    <w:p w14:paraId="633C73E2" w14:textId="77777777" w:rsidR="00B31BCC" w:rsidRPr="00634DBB" w:rsidRDefault="00B31BCC" w:rsidP="00B31BCC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213688E9" w14:textId="77777777" w:rsidR="00B31BCC" w:rsidRPr="00634DBB" w:rsidRDefault="00B31BCC" w:rsidP="00F87EEB">
      <w:pPr>
        <w:ind w:left="-450"/>
        <w:jc w:val="both"/>
        <w:rPr>
          <w:rFonts w:asciiTheme="minorHAnsi" w:hAnsiTheme="minorHAnsi" w:cstheme="minorHAnsi"/>
          <w:b/>
          <w:bCs/>
          <w:szCs w:val="22"/>
        </w:rPr>
      </w:pPr>
      <w:r w:rsidRPr="00634DBB">
        <w:rPr>
          <w:rFonts w:asciiTheme="minorHAnsi" w:hAnsiTheme="minorHAnsi" w:cstheme="minorHAnsi"/>
          <w:b/>
          <w:bCs/>
          <w:szCs w:val="22"/>
        </w:rPr>
        <w:t>Renewal</w:t>
      </w:r>
    </w:p>
    <w:p w14:paraId="442F0406" w14:textId="77777777" w:rsidR="00B31BCC" w:rsidRPr="00634DBB" w:rsidRDefault="00B31BCC" w:rsidP="00F87EEB">
      <w:pPr>
        <w:ind w:left="-450"/>
        <w:jc w:val="both"/>
        <w:rPr>
          <w:rFonts w:asciiTheme="minorHAnsi" w:hAnsiTheme="minorHAnsi" w:cstheme="minorHAnsi"/>
          <w:bCs/>
          <w:szCs w:val="22"/>
        </w:rPr>
      </w:pPr>
    </w:p>
    <w:p w14:paraId="5ABA288E" w14:textId="77777777" w:rsidR="00471711" w:rsidRPr="00634DBB" w:rsidRDefault="00B31BCC" w:rsidP="00F87EEB">
      <w:pPr>
        <w:ind w:left="-45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The contract period (1-3 years) is stipulated at the time of appointment. Three months prior to the end of that period, the</w:t>
      </w:r>
      <w:r w:rsidR="00E26299" w:rsidRPr="00634DBB">
        <w:rPr>
          <w:rFonts w:asciiTheme="minorHAnsi" w:hAnsiTheme="minorHAnsi" w:cstheme="minorHAnsi"/>
          <w:bCs/>
          <w:szCs w:val="22"/>
        </w:rPr>
        <w:t xml:space="preserve"> unit head</w:t>
      </w:r>
      <w:r w:rsidRPr="00634DBB">
        <w:rPr>
          <w:rFonts w:asciiTheme="minorHAnsi" w:hAnsiTheme="minorHAnsi" w:cstheme="minorHAnsi"/>
          <w:bCs/>
          <w:szCs w:val="22"/>
        </w:rPr>
        <w:t xml:space="preserve"> may request renewal by submitting </w:t>
      </w:r>
      <w:r w:rsidR="004C58C0" w:rsidRPr="00634DBB">
        <w:rPr>
          <w:rFonts w:asciiTheme="minorHAnsi" w:hAnsiTheme="minorHAnsi" w:cstheme="minorHAnsi"/>
          <w:bCs/>
          <w:szCs w:val="22"/>
        </w:rPr>
        <w:t>the</w:t>
      </w:r>
      <w:r w:rsidRPr="00634DBB">
        <w:rPr>
          <w:rFonts w:asciiTheme="minorHAnsi" w:hAnsiTheme="minorHAnsi" w:cstheme="minorHAnsi"/>
          <w:bCs/>
          <w:szCs w:val="22"/>
        </w:rPr>
        <w:t xml:space="preserve"> </w:t>
      </w:r>
      <w:r w:rsidR="00E26299" w:rsidRPr="00634DBB">
        <w:rPr>
          <w:rFonts w:asciiTheme="minorHAnsi" w:hAnsiTheme="minorHAnsi" w:cstheme="minorHAnsi"/>
          <w:bCs/>
          <w:szCs w:val="22"/>
        </w:rPr>
        <w:t>following to the Dean’s office:</w:t>
      </w:r>
      <w:r w:rsidR="00F730FD" w:rsidRPr="00634DBB">
        <w:rPr>
          <w:rFonts w:asciiTheme="minorHAnsi" w:hAnsiTheme="minorHAnsi" w:cstheme="minorHAnsi"/>
          <w:bCs/>
          <w:szCs w:val="22"/>
        </w:rPr>
        <w:t xml:space="preserve"> </w:t>
      </w:r>
    </w:p>
    <w:p w14:paraId="32B2A947" w14:textId="77777777" w:rsidR="00471711" w:rsidRPr="00634DBB" w:rsidRDefault="00F730FD" w:rsidP="00634DBB">
      <w:pPr>
        <w:spacing w:before="120" w:after="1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(a)</w:t>
      </w:r>
      <w:r w:rsidR="00B31BCC" w:rsidRPr="00634DBB">
        <w:rPr>
          <w:rFonts w:asciiTheme="minorHAnsi" w:hAnsiTheme="minorHAnsi" w:cstheme="minorHAnsi"/>
          <w:bCs/>
          <w:szCs w:val="22"/>
        </w:rPr>
        <w:t xml:space="preserve"> a summary</w:t>
      </w:r>
      <w:r w:rsidR="004C58C0" w:rsidRPr="00634DBB">
        <w:rPr>
          <w:rFonts w:asciiTheme="minorHAnsi" w:hAnsiTheme="minorHAnsi" w:cstheme="minorHAnsi"/>
          <w:bCs/>
          <w:szCs w:val="22"/>
        </w:rPr>
        <w:t xml:space="preserve"> statement of the annual performance reviews </w:t>
      </w:r>
      <w:r w:rsidR="00B31BCC" w:rsidRPr="00634DBB">
        <w:rPr>
          <w:rFonts w:asciiTheme="minorHAnsi" w:hAnsiTheme="minorHAnsi" w:cstheme="minorHAnsi"/>
          <w:bCs/>
          <w:szCs w:val="22"/>
        </w:rPr>
        <w:t>completed during the contract period</w:t>
      </w:r>
      <w:r w:rsidR="004C58C0" w:rsidRPr="00634DBB">
        <w:rPr>
          <w:rFonts w:asciiTheme="minorHAnsi" w:hAnsiTheme="minorHAnsi" w:cstheme="minorHAnsi"/>
          <w:bCs/>
          <w:szCs w:val="22"/>
        </w:rPr>
        <w:t>;</w:t>
      </w:r>
      <w:r w:rsidR="00F121F9" w:rsidRPr="00634DBB">
        <w:rPr>
          <w:rFonts w:asciiTheme="minorHAnsi" w:hAnsiTheme="minorHAnsi" w:cstheme="minorHAnsi"/>
          <w:bCs/>
          <w:szCs w:val="22"/>
        </w:rPr>
        <w:t xml:space="preserve"> </w:t>
      </w:r>
    </w:p>
    <w:p w14:paraId="0B14CC88" w14:textId="77777777" w:rsidR="00471711" w:rsidRPr="00634DBB" w:rsidRDefault="004C58C0" w:rsidP="00634DBB">
      <w:pPr>
        <w:spacing w:before="120" w:after="1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(b) </w:t>
      </w:r>
      <w:r w:rsidR="00F730FD" w:rsidRPr="00634DBB">
        <w:rPr>
          <w:rFonts w:asciiTheme="minorHAnsi" w:hAnsiTheme="minorHAnsi" w:cstheme="minorHAnsi"/>
          <w:bCs/>
          <w:szCs w:val="22"/>
        </w:rPr>
        <w:t>a memo articulating unit need for continuation of the position</w:t>
      </w:r>
      <w:r w:rsidR="00471711" w:rsidRPr="00634DBB">
        <w:rPr>
          <w:rFonts w:asciiTheme="minorHAnsi" w:hAnsiTheme="minorHAnsi" w:cstheme="minorHAnsi"/>
          <w:bCs/>
          <w:szCs w:val="22"/>
        </w:rPr>
        <w:t xml:space="preserve"> (a &amp; b may be combined into one letter)</w:t>
      </w:r>
      <w:r w:rsidR="00F730FD" w:rsidRPr="00634DBB">
        <w:rPr>
          <w:rFonts w:asciiTheme="minorHAnsi" w:hAnsiTheme="minorHAnsi" w:cstheme="minorHAnsi"/>
          <w:bCs/>
          <w:szCs w:val="22"/>
        </w:rPr>
        <w:t>,</w:t>
      </w:r>
    </w:p>
    <w:p w14:paraId="37F738AD" w14:textId="77777777" w:rsidR="00471711" w:rsidRPr="00634DBB" w:rsidRDefault="00F730FD" w:rsidP="00634DBB">
      <w:pPr>
        <w:spacing w:before="120" w:after="1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(</w:t>
      </w:r>
      <w:r w:rsidR="004C58C0" w:rsidRPr="00634DBB">
        <w:rPr>
          <w:rFonts w:asciiTheme="minorHAnsi" w:hAnsiTheme="minorHAnsi" w:cstheme="minorHAnsi"/>
          <w:bCs/>
          <w:szCs w:val="22"/>
        </w:rPr>
        <w:t>c</w:t>
      </w:r>
      <w:r w:rsidRPr="00634DBB">
        <w:rPr>
          <w:rFonts w:asciiTheme="minorHAnsi" w:hAnsiTheme="minorHAnsi" w:cstheme="minorHAnsi"/>
          <w:bCs/>
          <w:szCs w:val="22"/>
        </w:rPr>
        <w:t xml:space="preserve">) the faculty member’s CV, and </w:t>
      </w:r>
    </w:p>
    <w:p w14:paraId="22461253" w14:textId="77777777" w:rsidR="004C58C0" w:rsidRPr="00634DBB" w:rsidRDefault="00F730FD" w:rsidP="00634DBB">
      <w:pPr>
        <w:spacing w:before="120" w:after="12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>(</w:t>
      </w:r>
      <w:r w:rsidR="004C58C0" w:rsidRPr="00634DBB">
        <w:rPr>
          <w:rFonts w:asciiTheme="minorHAnsi" w:hAnsiTheme="minorHAnsi" w:cstheme="minorHAnsi"/>
          <w:bCs/>
          <w:szCs w:val="22"/>
        </w:rPr>
        <w:t>d</w:t>
      </w:r>
      <w:r w:rsidRPr="00634DBB">
        <w:rPr>
          <w:rFonts w:asciiTheme="minorHAnsi" w:hAnsiTheme="minorHAnsi" w:cstheme="minorHAnsi"/>
          <w:bCs/>
          <w:szCs w:val="22"/>
        </w:rPr>
        <w:t xml:space="preserve">) a draft offer </w:t>
      </w:r>
      <w:proofErr w:type="gramStart"/>
      <w:r w:rsidRPr="00634DBB">
        <w:rPr>
          <w:rFonts w:asciiTheme="minorHAnsi" w:hAnsiTheme="minorHAnsi" w:cstheme="minorHAnsi"/>
          <w:bCs/>
          <w:szCs w:val="22"/>
        </w:rPr>
        <w:t>letter</w:t>
      </w:r>
      <w:proofErr w:type="gramEnd"/>
      <w:r w:rsidR="00B31BCC" w:rsidRPr="00634DBB">
        <w:rPr>
          <w:rFonts w:asciiTheme="minorHAnsi" w:hAnsiTheme="minorHAnsi" w:cstheme="minorHAnsi"/>
          <w:bCs/>
          <w:szCs w:val="22"/>
        </w:rPr>
        <w:t xml:space="preserve">. </w:t>
      </w:r>
    </w:p>
    <w:p w14:paraId="7539CCF2" w14:textId="77777777" w:rsidR="004C58C0" w:rsidRPr="00634DBB" w:rsidRDefault="004C58C0" w:rsidP="00F87EEB">
      <w:pPr>
        <w:ind w:left="-450"/>
        <w:jc w:val="both"/>
        <w:rPr>
          <w:rFonts w:asciiTheme="minorHAnsi" w:hAnsiTheme="minorHAnsi" w:cstheme="minorHAnsi"/>
          <w:bCs/>
          <w:szCs w:val="22"/>
        </w:rPr>
      </w:pPr>
    </w:p>
    <w:p w14:paraId="4578551A" w14:textId="77777777" w:rsidR="00B31BCC" w:rsidRPr="00634DBB" w:rsidRDefault="00B31BCC" w:rsidP="00F87EEB">
      <w:pPr>
        <w:ind w:left="-450"/>
        <w:jc w:val="both"/>
        <w:rPr>
          <w:rFonts w:asciiTheme="minorHAnsi" w:hAnsiTheme="minorHAnsi" w:cstheme="minorHAnsi"/>
          <w:bCs/>
          <w:szCs w:val="22"/>
        </w:rPr>
      </w:pPr>
      <w:r w:rsidRPr="00634DBB">
        <w:rPr>
          <w:rFonts w:asciiTheme="minorHAnsi" w:hAnsiTheme="minorHAnsi" w:cstheme="minorHAnsi"/>
          <w:bCs/>
          <w:szCs w:val="22"/>
        </w:rPr>
        <w:t xml:space="preserve">The College will utilize annual reviews as well as reference to the current budget situation to determine whether to renew the contract. </w:t>
      </w:r>
    </w:p>
    <w:p w14:paraId="3465A395" w14:textId="77777777" w:rsidR="00F87EEB" w:rsidRPr="00634DBB" w:rsidRDefault="00F87EEB" w:rsidP="00F87EEB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p w14:paraId="3A415C80" w14:textId="77777777" w:rsidR="00B31BCC" w:rsidRPr="00634DBB" w:rsidRDefault="00B31BCC" w:rsidP="00B26DC6">
      <w:pPr>
        <w:ind w:left="-720"/>
        <w:jc w:val="both"/>
        <w:rPr>
          <w:rFonts w:asciiTheme="minorHAnsi" w:hAnsiTheme="minorHAnsi" w:cstheme="minorHAnsi"/>
          <w:bCs/>
          <w:szCs w:val="22"/>
        </w:rPr>
      </w:pPr>
    </w:p>
    <w:sectPr w:rsidR="00B31BCC" w:rsidRPr="00634DBB" w:rsidSect="0029405A">
      <w:headerReference w:type="default" r:id="rId12"/>
      <w:headerReference w:type="first" r:id="rId13"/>
      <w:pgSz w:w="12240" w:h="15840"/>
      <w:pgMar w:top="0" w:right="72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5D2B" w14:textId="77777777" w:rsidR="00936809" w:rsidRDefault="00936809">
      <w:r>
        <w:separator/>
      </w:r>
    </w:p>
  </w:endnote>
  <w:endnote w:type="continuationSeparator" w:id="0">
    <w:p w14:paraId="677708E1" w14:textId="77777777" w:rsidR="00936809" w:rsidRDefault="00936809">
      <w:r>
        <w:continuationSeparator/>
      </w:r>
    </w:p>
  </w:endnote>
  <w:endnote w:type="continuationNotice" w:id="1">
    <w:p w14:paraId="7AF0C8ED" w14:textId="77777777" w:rsidR="00936809" w:rsidRDefault="00936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7E60" w14:textId="77777777" w:rsidR="00936809" w:rsidRDefault="00936809">
      <w:r>
        <w:separator/>
      </w:r>
    </w:p>
  </w:footnote>
  <w:footnote w:type="continuationSeparator" w:id="0">
    <w:p w14:paraId="740E8D87" w14:textId="77777777" w:rsidR="00936809" w:rsidRDefault="00936809">
      <w:r>
        <w:continuationSeparator/>
      </w:r>
    </w:p>
  </w:footnote>
  <w:footnote w:type="continuationNotice" w:id="1">
    <w:p w14:paraId="75790651" w14:textId="77777777" w:rsidR="00936809" w:rsidRDefault="00936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1DB0" w14:textId="77777777" w:rsidR="00F47AA0" w:rsidRPr="00B07711" w:rsidRDefault="00767E70" w:rsidP="00AE7C7F">
    <w:pPr>
      <w:pStyle w:val="Header"/>
      <w:tabs>
        <w:tab w:val="left" w:pos="90"/>
      </w:tabs>
      <w:ind w:left="-990"/>
    </w:pPr>
    <w:r>
      <w:rPr>
        <w:noProof/>
        <w:lang w:val="en-US" w:eastAsia="en-US"/>
      </w:rPr>
      <w:drawing>
        <wp:inline distT="0" distB="0" distL="0" distR="0" wp14:anchorId="6118B292" wp14:editId="0B876ED9">
          <wp:extent cx="7315200" cy="88138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607A" w14:textId="77777777" w:rsidR="0081687D" w:rsidRDefault="00767E70">
    <w:pPr>
      <w:pStyle w:val="Header"/>
    </w:pPr>
    <w:r>
      <w:rPr>
        <w:noProof/>
        <w:lang w:val="en-US" w:eastAsia="en-US"/>
      </w:rPr>
      <w:drawing>
        <wp:inline distT="0" distB="0" distL="0" distR="0" wp14:anchorId="65B42C35" wp14:editId="4C10E1FE">
          <wp:extent cx="6466840" cy="682625"/>
          <wp:effectExtent l="0" t="0" r="0" b="3175"/>
          <wp:docPr id="2" name="Picture 2" descr="doc_header_sbs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_header_sbs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62231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2BCDCEC"/>
    <w:lvl w:ilvl="0" w:tplc="0D164880">
      <w:start w:val="1"/>
      <w:numFmt w:val="bullet"/>
      <w:lvlText w:val="•"/>
      <w:lvlJc w:val="left"/>
      <w:pPr>
        <w:ind w:left="720" w:hanging="360"/>
      </w:pPr>
      <w:rPr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1B10"/>
    <w:multiLevelType w:val="hybridMultilevel"/>
    <w:tmpl w:val="DF0C48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28260FD"/>
    <w:multiLevelType w:val="hybridMultilevel"/>
    <w:tmpl w:val="4E0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962C8"/>
    <w:multiLevelType w:val="hybridMultilevel"/>
    <w:tmpl w:val="A4D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539"/>
    <w:multiLevelType w:val="hybridMultilevel"/>
    <w:tmpl w:val="0B889EA8"/>
    <w:lvl w:ilvl="0" w:tplc="1B34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3D55"/>
    <w:multiLevelType w:val="hybridMultilevel"/>
    <w:tmpl w:val="5B2AF71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9120C30"/>
    <w:multiLevelType w:val="hybridMultilevel"/>
    <w:tmpl w:val="68B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78E"/>
    <w:multiLevelType w:val="hybridMultilevel"/>
    <w:tmpl w:val="3960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E7BCA"/>
    <w:multiLevelType w:val="hybridMultilevel"/>
    <w:tmpl w:val="E6E8DA88"/>
    <w:lvl w:ilvl="0" w:tplc="1B34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D86"/>
    <w:multiLevelType w:val="hybridMultilevel"/>
    <w:tmpl w:val="E8860D3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2853459F"/>
    <w:multiLevelType w:val="hybridMultilevel"/>
    <w:tmpl w:val="EA6E0E86"/>
    <w:lvl w:ilvl="0" w:tplc="C688EF0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A6172"/>
    <w:multiLevelType w:val="hybridMultilevel"/>
    <w:tmpl w:val="5D283E5C"/>
    <w:lvl w:ilvl="0" w:tplc="1B34F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C36CD"/>
    <w:multiLevelType w:val="hybridMultilevel"/>
    <w:tmpl w:val="2EE0B880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4" w15:restartNumberingAfterBreak="0">
    <w:nsid w:val="2A401D07"/>
    <w:multiLevelType w:val="hybridMultilevel"/>
    <w:tmpl w:val="9E80FB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BBB6DA7"/>
    <w:multiLevelType w:val="hybridMultilevel"/>
    <w:tmpl w:val="ED4873D4"/>
    <w:lvl w:ilvl="0" w:tplc="1B34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55E99"/>
    <w:multiLevelType w:val="hybridMultilevel"/>
    <w:tmpl w:val="E5D26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699C"/>
    <w:multiLevelType w:val="hybridMultilevel"/>
    <w:tmpl w:val="BC3E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A6BEF"/>
    <w:multiLevelType w:val="hybridMultilevel"/>
    <w:tmpl w:val="065E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467F"/>
    <w:multiLevelType w:val="hybridMultilevel"/>
    <w:tmpl w:val="1BC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6407A"/>
    <w:multiLevelType w:val="hybridMultilevel"/>
    <w:tmpl w:val="B0A0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3134"/>
    <w:multiLevelType w:val="hybridMultilevel"/>
    <w:tmpl w:val="A5B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484D"/>
    <w:multiLevelType w:val="hybridMultilevel"/>
    <w:tmpl w:val="04FCB6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E304BF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3D144A4"/>
    <w:multiLevelType w:val="hybridMultilevel"/>
    <w:tmpl w:val="2014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5" w15:restartNumberingAfterBreak="0">
    <w:nsid w:val="54410D20"/>
    <w:multiLevelType w:val="hybridMultilevel"/>
    <w:tmpl w:val="8BA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C6844"/>
    <w:multiLevelType w:val="hybridMultilevel"/>
    <w:tmpl w:val="35B0F2BE"/>
    <w:lvl w:ilvl="0" w:tplc="0C8CAAA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7752F"/>
    <w:multiLevelType w:val="hybridMultilevel"/>
    <w:tmpl w:val="D70470F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58993E87"/>
    <w:multiLevelType w:val="hybridMultilevel"/>
    <w:tmpl w:val="20E8AC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9EB593C"/>
    <w:multiLevelType w:val="hybridMultilevel"/>
    <w:tmpl w:val="41B083AE"/>
    <w:lvl w:ilvl="0" w:tplc="1B34F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59363D"/>
    <w:multiLevelType w:val="hybridMultilevel"/>
    <w:tmpl w:val="18306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77D72"/>
    <w:multiLevelType w:val="hybridMultilevel"/>
    <w:tmpl w:val="881076DC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2" w15:restartNumberingAfterBreak="0">
    <w:nsid w:val="63E929FF"/>
    <w:multiLevelType w:val="hybridMultilevel"/>
    <w:tmpl w:val="634A9A7E"/>
    <w:lvl w:ilvl="0" w:tplc="8020D88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6E11FB4"/>
    <w:multiLevelType w:val="hybridMultilevel"/>
    <w:tmpl w:val="0A50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74101"/>
    <w:multiLevelType w:val="hybridMultilevel"/>
    <w:tmpl w:val="2B326B7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9BC1391"/>
    <w:multiLevelType w:val="hybridMultilevel"/>
    <w:tmpl w:val="CB7C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5391D"/>
    <w:multiLevelType w:val="hybridMultilevel"/>
    <w:tmpl w:val="7AFEF2EE"/>
    <w:lvl w:ilvl="0" w:tplc="5666E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87E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67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0E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49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06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8C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EF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A6895"/>
    <w:multiLevelType w:val="hybridMultilevel"/>
    <w:tmpl w:val="BBEE4AE2"/>
    <w:lvl w:ilvl="0" w:tplc="1B34F15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1"/>
  </w:num>
  <w:num w:numId="5">
    <w:abstractNumId w:val="11"/>
  </w:num>
  <w:num w:numId="6">
    <w:abstractNumId w:val="32"/>
  </w:num>
  <w:num w:numId="7">
    <w:abstractNumId w:val="28"/>
  </w:num>
  <w:num w:numId="8">
    <w:abstractNumId w:val="16"/>
  </w:num>
  <w:num w:numId="9">
    <w:abstractNumId w:val="30"/>
  </w:num>
  <w:num w:numId="10">
    <w:abstractNumId w:val="31"/>
  </w:num>
  <w:num w:numId="11">
    <w:abstractNumId w:val="13"/>
  </w:num>
  <w:num w:numId="12">
    <w:abstractNumId w:val="24"/>
  </w:num>
  <w:num w:numId="13">
    <w:abstractNumId w:val="14"/>
  </w:num>
  <w:num w:numId="14">
    <w:abstractNumId w:val="17"/>
  </w:num>
  <w:num w:numId="15">
    <w:abstractNumId w:val="6"/>
  </w:num>
  <w:num w:numId="16">
    <w:abstractNumId w:val="20"/>
  </w:num>
  <w:num w:numId="17">
    <w:abstractNumId w:val="35"/>
  </w:num>
  <w:num w:numId="18">
    <w:abstractNumId w:val="7"/>
  </w:num>
  <w:num w:numId="19">
    <w:abstractNumId w:val="3"/>
  </w:num>
  <w:num w:numId="20">
    <w:abstractNumId w:val="27"/>
  </w:num>
  <w:num w:numId="21">
    <w:abstractNumId w:val="4"/>
  </w:num>
  <w:num w:numId="22">
    <w:abstractNumId w:val="10"/>
  </w:num>
  <w:num w:numId="23">
    <w:abstractNumId w:val="9"/>
  </w:num>
  <w:num w:numId="24">
    <w:abstractNumId w:val="37"/>
  </w:num>
  <w:num w:numId="25">
    <w:abstractNumId w:val="12"/>
  </w:num>
  <w:num w:numId="26">
    <w:abstractNumId w:val="29"/>
  </w:num>
  <w:num w:numId="27">
    <w:abstractNumId w:val="5"/>
  </w:num>
  <w:num w:numId="28">
    <w:abstractNumId w:val="15"/>
  </w:num>
  <w:num w:numId="29">
    <w:abstractNumId w:val="8"/>
  </w:num>
  <w:num w:numId="30">
    <w:abstractNumId w:val="19"/>
  </w:num>
  <w:num w:numId="31">
    <w:abstractNumId w:val="18"/>
  </w:num>
  <w:num w:numId="32">
    <w:abstractNumId w:val="25"/>
  </w:num>
  <w:num w:numId="33">
    <w:abstractNumId w:val="36"/>
  </w:num>
  <w:num w:numId="34">
    <w:abstractNumId w:val="34"/>
  </w:num>
  <w:num w:numId="35">
    <w:abstractNumId w:val="26"/>
  </w:num>
  <w:num w:numId="36">
    <w:abstractNumId w:val="21"/>
  </w:num>
  <w:num w:numId="37">
    <w:abstractNumId w:val="2"/>
  </w:num>
  <w:num w:numId="3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>
      <o:colormru v:ext="edit" colors="#9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92"/>
    <w:rsid w:val="00000F1C"/>
    <w:rsid w:val="00001DD3"/>
    <w:rsid w:val="000029AD"/>
    <w:rsid w:val="00004838"/>
    <w:rsid w:val="00005E32"/>
    <w:rsid w:val="0000617E"/>
    <w:rsid w:val="00011D97"/>
    <w:rsid w:val="000124A5"/>
    <w:rsid w:val="00012503"/>
    <w:rsid w:val="00012B7A"/>
    <w:rsid w:val="000138BF"/>
    <w:rsid w:val="00013BAC"/>
    <w:rsid w:val="00013EE8"/>
    <w:rsid w:val="00015779"/>
    <w:rsid w:val="00022657"/>
    <w:rsid w:val="0002639A"/>
    <w:rsid w:val="0003233B"/>
    <w:rsid w:val="00032A4A"/>
    <w:rsid w:val="000364E8"/>
    <w:rsid w:val="00040BD8"/>
    <w:rsid w:val="00041DEC"/>
    <w:rsid w:val="00042685"/>
    <w:rsid w:val="00043243"/>
    <w:rsid w:val="00044626"/>
    <w:rsid w:val="00045D5A"/>
    <w:rsid w:val="0005251A"/>
    <w:rsid w:val="00053568"/>
    <w:rsid w:val="00056205"/>
    <w:rsid w:val="000639AD"/>
    <w:rsid w:val="00063A58"/>
    <w:rsid w:val="00064491"/>
    <w:rsid w:val="0007206B"/>
    <w:rsid w:val="0007507A"/>
    <w:rsid w:val="000751C1"/>
    <w:rsid w:val="000769AC"/>
    <w:rsid w:val="00081DA6"/>
    <w:rsid w:val="000848F5"/>
    <w:rsid w:val="00084C92"/>
    <w:rsid w:val="0008552D"/>
    <w:rsid w:val="00093FFF"/>
    <w:rsid w:val="00095A77"/>
    <w:rsid w:val="000A5AA1"/>
    <w:rsid w:val="000B3127"/>
    <w:rsid w:val="000B574E"/>
    <w:rsid w:val="000B62F5"/>
    <w:rsid w:val="000B6C21"/>
    <w:rsid w:val="000C0866"/>
    <w:rsid w:val="000C562C"/>
    <w:rsid w:val="000C6E93"/>
    <w:rsid w:val="000C7A67"/>
    <w:rsid w:val="000D4572"/>
    <w:rsid w:val="000D55EC"/>
    <w:rsid w:val="000E13A5"/>
    <w:rsid w:val="000E57B5"/>
    <w:rsid w:val="000E6A3C"/>
    <w:rsid w:val="000F29C4"/>
    <w:rsid w:val="000F3082"/>
    <w:rsid w:val="000F490F"/>
    <w:rsid w:val="000F5087"/>
    <w:rsid w:val="0010572D"/>
    <w:rsid w:val="001071AA"/>
    <w:rsid w:val="00107E5F"/>
    <w:rsid w:val="0011336A"/>
    <w:rsid w:val="00116112"/>
    <w:rsid w:val="00122FAF"/>
    <w:rsid w:val="00123E55"/>
    <w:rsid w:val="00125B24"/>
    <w:rsid w:val="00131CDF"/>
    <w:rsid w:val="00133E04"/>
    <w:rsid w:val="00134CD8"/>
    <w:rsid w:val="001365FA"/>
    <w:rsid w:val="001402E4"/>
    <w:rsid w:val="0014054E"/>
    <w:rsid w:val="00140CCA"/>
    <w:rsid w:val="00141067"/>
    <w:rsid w:val="001428C7"/>
    <w:rsid w:val="001455F6"/>
    <w:rsid w:val="00150504"/>
    <w:rsid w:val="001546C6"/>
    <w:rsid w:val="001555B6"/>
    <w:rsid w:val="00156D3B"/>
    <w:rsid w:val="00157CD3"/>
    <w:rsid w:val="001601EF"/>
    <w:rsid w:val="0016081C"/>
    <w:rsid w:val="00160C8A"/>
    <w:rsid w:val="0016511F"/>
    <w:rsid w:val="00171235"/>
    <w:rsid w:val="0017399B"/>
    <w:rsid w:val="00174CE2"/>
    <w:rsid w:val="00176E59"/>
    <w:rsid w:val="00184B49"/>
    <w:rsid w:val="001900A9"/>
    <w:rsid w:val="00192316"/>
    <w:rsid w:val="00192692"/>
    <w:rsid w:val="00192F1F"/>
    <w:rsid w:val="001A1BFE"/>
    <w:rsid w:val="001A28C1"/>
    <w:rsid w:val="001A3488"/>
    <w:rsid w:val="001B12A2"/>
    <w:rsid w:val="001B2A7B"/>
    <w:rsid w:val="001B565E"/>
    <w:rsid w:val="001C4F8B"/>
    <w:rsid w:val="001C5E54"/>
    <w:rsid w:val="001D0F50"/>
    <w:rsid w:val="001D264C"/>
    <w:rsid w:val="001D7FB4"/>
    <w:rsid w:val="001E3EDB"/>
    <w:rsid w:val="001E4AFE"/>
    <w:rsid w:val="001E6705"/>
    <w:rsid w:val="001F1A7D"/>
    <w:rsid w:val="001F48A2"/>
    <w:rsid w:val="001F571E"/>
    <w:rsid w:val="001F5EC9"/>
    <w:rsid w:val="001F7895"/>
    <w:rsid w:val="00203F6A"/>
    <w:rsid w:val="0020768F"/>
    <w:rsid w:val="00210232"/>
    <w:rsid w:val="002204F7"/>
    <w:rsid w:val="002205EE"/>
    <w:rsid w:val="00220964"/>
    <w:rsid w:val="002222A0"/>
    <w:rsid w:val="00224EB7"/>
    <w:rsid w:val="002279CD"/>
    <w:rsid w:val="00234750"/>
    <w:rsid w:val="00240461"/>
    <w:rsid w:val="002408B0"/>
    <w:rsid w:val="00242D07"/>
    <w:rsid w:val="0024533F"/>
    <w:rsid w:val="00247723"/>
    <w:rsid w:val="00252EF0"/>
    <w:rsid w:val="00253DE9"/>
    <w:rsid w:val="00257080"/>
    <w:rsid w:val="002744DD"/>
    <w:rsid w:val="002777A4"/>
    <w:rsid w:val="0029062E"/>
    <w:rsid w:val="002931F9"/>
    <w:rsid w:val="0029405A"/>
    <w:rsid w:val="002A03D6"/>
    <w:rsid w:val="002A6211"/>
    <w:rsid w:val="002B3801"/>
    <w:rsid w:val="002B5CB0"/>
    <w:rsid w:val="002C02E6"/>
    <w:rsid w:val="002C07E4"/>
    <w:rsid w:val="002C30E6"/>
    <w:rsid w:val="002C3D88"/>
    <w:rsid w:val="002C5C77"/>
    <w:rsid w:val="002C660D"/>
    <w:rsid w:val="002D1717"/>
    <w:rsid w:val="002D3DE9"/>
    <w:rsid w:val="002E09C1"/>
    <w:rsid w:val="002E1EC6"/>
    <w:rsid w:val="002E3B7B"/>
    <w:rsid w:val="002E41FB"/>
    <w:rsid w:val="002E69DD"/>
    <w:rsid w:val="002F239A"/>
    <w:rsid w:val="002F6191"/>
    <w:rsid w:val="00303861"/>
    <w:rsid w:val="003041FB"/>
    <w:rsid w:val="003054DF"/>
    <w:rsid w:val="00310177"/>
    <w:rsid w:val="00312097"/>
    <w:rsid w:val="00314C9B"/>
    <w:rsid w:val="0031700C"/>
    <w:rsid w:val="00322AC4"/>
    <w:rsid w:val="00324141"/>
    <w:rsid w:val="00340D44"/>
    <w:rsid w:val="00342F77"/>
    <w:rsid w:val="00361AF3"/>
    <w:rsid w:val="00362EDF"/>
    <w:rsid w:val="00367EC5"/>
    <w:rsid w:val="00372484"/>
    <w:rsid w:val="003768A0"/>
    <w:rsid w:val="003838E2"/>
    <w:rsid w:val="00384456"/>
    <w:rsid w:val="0039098C"/>
    <w:rsid w:val="003941BE"/>
    <w:rsid w:val="003A14DE"/>
    <w:rsid w:val="003A23D6"/>
    <w:rsid w:val="003A287C"/>
    <w:rsid w:val="003A328F"/>
    <w:rsid w:val="003B766E"/>
    <w:rsid w:val="003B7B00"/>
    <w:rsid w:val="003C04E1"/>
    <w:rsid w:val="003C5BCB"/>
    <w:rsid w:val="003D23F0"/>
    <w:rsid w:val="003D30B3"/>
    <w:rsid w:val="003D4D32"/>
    <w:rsid w:val="003D7BEB"/>
    <w:rsid w:val="003E34F9"/>
    <w:rsid w:val="003E416C"/>
    <w:rsid w:val="003E4FC2"/>
    <w:rsid w:val="003E5813"/>
    <w:rsid w:val="00401A9D"/>
    <w:rsid w:val="004123E4"/>
    <w:rsid w:val="00415EAF"/>
    <w:rsid w:val="00422CDD"/>
    <w:rsid w:val="00426E04"/>
    <w:rsid w:val="00430DDA"/>
    <w:rsid w:val="00430DE6"/>
    <w:rsid w:val="0043155E"/>
    <w:rsid w:val="00434177"/>
    <w:rsid w:val="00434DFD"/>
    <w:rsid w:val="00440669"/>
    <w:rsid w:val="00445BCD"/>
    <w:rsid w:val="00445BFC"/>
    <w:rsid w:val="00450448"/>
    <w:rsid w:val="0045258F"/>
    <w:rsid w:val="00455985"/>
    <w:rsid w:val="0045723B"/>
    <w:rsid w:val="00460E03"/>
    <w:rsid w:val="0046143B"/>
    <w:rsid w:val="004615C0"/>
    <w:rsid w:val="0046163F"/>
    <w:rsid w:val="00462786"/>
    <w:rsid w:val="00466E11"/>
    <w:rsid w:val="00471711"/>
    <w:rsid w:val="00472277"/>
    <w:rsid w:val="00472D9B"/>
    <w:rsid w:val="00475D63"/>
    <w:rsid w:val="00475E5B"/>
    <w:rsid w:val="00477A02"/>
    <w:rsid w:val="0048031F"/>
    <w:rsid w:val="00480BFF"/>
    <w:rsid w:val="00484C59"/>
    <w:rsid w:val="00484CE1"/>
    <w:rsid w:val="0049256A"/>
    <w:rsid w:val="00494899"/>
    <w:rsid w:val="00495572"/>
    <w:rsid w:val="004977DD"/>
    <w:rsid w:val="004A5A80"/>
    <w:rsid w:val="004A7811"/>
    <w:rsid w:val="004B7E3C"/>
    <w:rsid w:val="004C1FBB"/>
    <w:rsid w:val="004C58C0"/>
    <w:rsid w:val="004C6DCA"/>
    <w:rsid w:val="004D280E"/>
    <w:rsid w:val="004D48D9"/>
    <w:rsid w:val="004D6061"/>
    <w:rsid w:val="004E0333"/>
    <w:rsid w:val="004E3E25"/>
    <w:rsid w:val="004E65A5"/>
    <w:rsid w:val="004F3A64"/>
    <w:rsid w:val="00500135"/>
    <w:rsid w:val="0050777A"/>
    <w:rsid w:val="00511357"/>
    <w:rsid w:val="005125CB"/>
    <w:rsid w:val="005128CD"/>
    <w:rsid w:val="0051297A"/>
    <w:rsid w:val="005202A9"/>
    <w:rsid w:val="00532863"/>
    <w:rsid w:val="00533EB4"/>
    <w:rsid w:val="00541484"/>
    <w:rsid w:val="005417FC"/>
    <w:rsid w:val="00542ED4"/>
    <w:rsid w:val="00546D83"/>
    <w:rsid w:val="00554722"/>
    <w:rsid w:val="0055640C"/>
    <w:rsid w:val="00557874"/>
    <w:rsid w:val="00557FB1"/>
    <w:rsid w:val="0056168D"/>
    <w:rsid w:val="00564560"/>
    <w:rsid w:val="00564BAC"/>
    <w:rsid w:val="00565646"/>
    <w:rsid w:val="00565E48"/>
    <w:rsid w:val="00566621"/>
    <w:rsid w:val="005719F4"/>
    <w:rsid w:val="00574E3F"/>
    <w:rsid w:val="00575584"/>
    <w:rsid w:val="005762C9"/>
    <w:rsid w:val="00582C6D"/>
    <w:rsid w:val="00586247"/>
    <w:rsid w:val="00587CB1"/>
    <w:rsid w:val="00591383"/>
    <w:rsid w:val="00593BAC"/>
    <w:rsid w:val="00594F20"/>
    <w:rsid w:val="00595669"/>
    <w:rsid w:val="00595B49"/>
    <w:rsid w:val="005A4867"/>
    <w:rsid w:val="005A60B1"/>
    <w:rsid w:val="005B1485"/>
    <w:rsid w:val="005B6691"/>
    <w:rsid w:val="005B6A71"/>
    <w:rsid w:val="005C324B"/>
    <w:rsid w:val="005C4262"/>
    <w:rsid w:val="005C426C"/>
    <w:rsid w:val="005C7C57"/>
    <w:rsid w:val="005D5604"/>
    <w:rsid w:val="005E21F1"/>
    <w:rsid w:val="005F1B3B"/>
    <w:rsid w:val="005F553F"/>
    <w:rsid w:val="00604488"/>
    <w:rsid w:val="00604B2A"/>
    <w:rsid w:val="00605771"/>
    <w:rsid w:val="00606A07"/>
    <w:rsid w:val="0061066A"/>
    <w:rsid w:val="00615585"/>
    <w:rsid w:val="00621E70"/>
    <w:rsid w:val="00622AF1"/>
    <w:rsid w:val="006257D3"/>
    <w:rsid w:val="00630BAC"/>
    <w:rsid w:val="00634DBB"/>
    <w:rsid w:val="0063636E"/>
    <w:rsid w:val="00637636"/>
    <w:rsid w:val="006401E8"/>
    <w:rsid w:val="00640D74"/>
    <w:rsid w:val="0064190C"/>
    <w:rsid w:val="00641966"/>
    <w:rsid w:val="00641B3B"/>
    <w:rsid w:val="006448F9"/>
    <w:rsid w:val="006506E9"/>
    <w:rsid w:val="00652728"/>
    <w:rsid w:val="0065464A"/>
    <w:rsid w:val="006558A8"/>
    <w:rsid w:val="00657138"/>
    <w:rsid w:val="00657D20"/>
    <w:rsid w:val="006604E4"/>
    <w:rsid w:val="00662C88"/>
    <w:rsid w:val="00666962"/>
    <w:rsid w:val="00667B9E"/>
    <w:rsid w:val="00667E89"/>
    <w:rsid w:val="00673104"/>
    <w:rsid w:val="00674062"/>
    <w:rsid w:val="00677C78"/>
    <w:rsid w:val="00680143"/>
    <w:rsid w:val="00681CE3"/>
    <w:rsid w:val="00683042"/>
    <w:rsid w:val="00693C9C"/>
    <w:rsid w:val="00693F11"/>
    <w:rsid w:val="006959FE"/>
    <w:rsid w:val="00696694"/>
    <w:rsid w:val="00696ECE"/>
    <w:rsid w:val="006A4308"/>
    <w:rsid w:val="006B03C3"/>
    <w:rsid w:val="006B09F6"/>
    <w:rsid w:val="006B1189"/>
    <w:rsid w:val="006B2663"/>
    <w:rsid w:val="006B36DC"/>
    <w:rsid w:val="006B379E"/>
    <w:rsid w:val="006B4A27"/>
    <w:rsid w:val="006B5E2D"/>
    <w:rsid w:val="006B7AD9"/>
    <w:rsid w:val="006C0307"/>
    <w:rsid w:val="006D12DC"/>
    <w:rsid w:val="006D4D79"/>
    <w:rsid w:val="006D5817"/>
    <w:rsid w:val="006D5A66"/>
    <w:rsid w:val="006D6B0B"/>
    <w:rsid w:val="006E16E2"/>
    <w:rsid w:val="006E6623"/>
    <w:rsid w:val="006F0BFD"/>
    <w:rsid w:val="006F1843"/>
    <w:rsid w:val="006F1B15"/>
    <w:rsid w:val="006F206B"/>
    <w:rsid w:val="006F2B61"/>
    <w:rsid w:val="006F6EDC"/>
    <w:rsid w:val="00703A17"/>
    <w:rsid w:val="0070658E"/>
    <w:rsid w:val="0071371B"/>
    <w:rsid w:val="007166E8"/>
    <w:rsid w:val="00727E44"/>
    <w:rsid w:val="007316BA"/>
    <w:rsid w:val="00732101"/>
    <w:rsid w:val="007341E9"/>
    <w:rsid w:val="00737415"/>
    <w:rsid w:val="007416AE"/>
    <w:rsid w:val="0074193B"/>
    <w:rsid w:val="007519DD"/>
    <w:rsid w:val="00752CA2"/>
    <w:rsid w:val="00754384"/>
    <w:rsid w:val="00754664"/>
    <w:rsid w:val="0075475A"/>
    <w:rsid w:val="007578DE"/>
    <w:rsid w:val="00763D8E"/>
    <w:rsid w:val="007679A6"/>
    <w:rsid w:val="00767E70"/>
    <w:rsid w:val="00772287"/>
    <w:rsid w:val="0077262A"/>
    <w:rsid w:val="007754AF"/>
    <w:rsid w:val="0077640E"/>
    <w:rsid w:val="0077698B"/>
    <w:rsid w:val="00797F65"/>
    <w:rsid w:val="007A0B5D"/>
    <w:rsid w:val="007A269B"/>
    <w:rsid w:val="007A352C"/>
    <w:rsid w:val="007A6CEC"/>
    <w:rsid w:val="007B0651"/>
    <w:rsid w:val="007B0D8B"/>
    <w:rsid w:val="007B3B56"/>
    <w:rsid w:val="007B425C"/>
    <w:rsid w:val="007B6005"/>
    <w:rsid w:val="007C4A75"/>
    <w:rsid w:val="007C4FD5"/>
    <w:rsid w:val="007C5F22"/>
    <w:rsid w:val="007C6EBD"/>
    <w:rsid w:val="007C711D"/>
    <w:rsid w:val="007C731D"/>
    <w:rsid w:val="007D154A"/>
    <w:rsid w:val="007D541C"/>
    <w:rsid w:val="007E2BBC"/>
    <w:rsid w:val="007E52D7"/>
    <w:rsid w:val="007E55C3"/>
    <w:rsid w:val="007F2E52"/>
    <w:rsid w:val="00801E38"/>
    <w:rsid w:val="00805ACA"/>
    <w:rsid w:val="00807276"/>
    <w:rsid w:val="00813904"/>
    <w:rsid w:val="0081687D"/>
    <w:rsid w:val="00824720"/>
    <w:rsid w:val="00825AB5"/>
    <w:rsid w:val="00833BD7"/>
    <w:rsid w:val="00836920"/>
    <w:rsid w:val="008411BB"/>
    <w:rsid w:val="008421CE"/>
    <w:rsid w:val="00845299"/>
    <w:rsid w:val="00846966"/>
    <w:rsid w:val="00855CD0"/>
    <w:rsid w:val="0085631C"/>
    <w:rsid w:val="00860A6E"/>
    <w:rsid w:val="008645E0"/>
    <w:rsid w:val="00867172"/>
    <w:rsid w:val="008762D3"/>
    <w:rsid w:val="00876970"/>
    <w:rsid w:val="00880FBA"/>
    <w:rsid w:val="00882831"/>
    <w:rsid w:val="00884026"/>
    <w:rsid w:val="008857FD"/>
    <w:rsid w:val="00885D2F"/>
    <w:rsid w:val="008860A2"/>
    <w:rsid w:val="00886E32"/>
    <w:rsid w:val="00890D8D"/>
    <w:rsid w:val="00892EFC"/>
    <w:rsid w:val="008944A5"/>
    <w:rsid w:val="00894521"/>
    <w:rsid w:val="0089546E"/>
    <w:rsid w:val="0089581D"/>
    <w:rsid w:val="008965E0"/>
    <w:rsid w:val="0089695E"/>
    <w:rsid w:val="008979DD"/>
    <w:rsid w:val="008A03F7"/>
    <w:rsid w:val="008A1C17"/>
    <w:rsid w:val="008A2B1E"/>
    <w:rsid w:val="008A2D64"/>
    <w:rsid w:val="008A4E32"/>
    <w:rsid w:val="008A6E52"/>
    <w:rsid w:val="008A7611"/>
    <w:rsid w:val="008A7EF4"/>
    <w:rsid w:val="008B20CD"/>
    <w:rsid w:val="008B2D4F"/>
    <w:rsid w:val="008B4906"/>
    <w:rsid w:val="008B7518"/>
    <w:rsid w:val="008C0129"/>
    <w:rsid w:val="008C0573"/>
    <w:rsid w:val="008C103F"/>
    <w:rsid w:val="008C5DE1"/>
    <w:rsid w:val="008D5189"/>
    <w:rsid w:val="008E0FE3"/>
    <w:rsid w:val="008E4379"/>
    <w:rsid w:val="008E6104"/>
    <w:rsid w:val="008F0141"/>
    <w:rsid w:val="008F17B6"/>
    <w:rsid w:val="008F228F"/>
    <w:rsid w:val="00900751"/>
    <w:rsid w:val="00902014"/>
    <w:rsid w:val="00904449"/>
    <w:rsid w:val="00904A28"/>
    <w:rsid w:val="00905225"/>
    <w:rsid w:val="009107D9"/>
    <w:rsid w:val="009112C6"/>
    <w:rsid w:val="00916066"/>
    <w:rsid w:val="00917E70"/>
    <w:rsid w:val="00921D8C"/>
    <w:rsid w:val="0092269E"/>
    <w:rsid w:val="00923C23"/>
    <w:rsid w:val="00924227"/>
    <w:rsid w:val="0092445B"/>
    <w:rsid w:val="00931091"/>
    <w:rsid w:val="00936809"/>
    <w:rsid w:val="00937229"/>
    <w:rsid w:val="00937E87"/>
    <w:rsid w:val="00941F39"/>
    <w:rsid w:val="00943F91"/>
    <w:rsid w:val="00945CFE"/>
    <w:rsid w:val="0095129A"/>
    <w:rsid w:val="00951667"/>
    <w:rsid w:val="0095252B"/>
    <w:rsid w:val="009603AD"/>
    <w:rsid w:val="00963826"/>
    <w:rsid w:val="009656CA"/>
    <w:rsid w:val="00973088"/>
    <w:rsid w:val="009737AC"/>
    <w:rsid w:val="0098452A"/>
    <w:rsid w:val="00984B25"/>
    <w:rsid w:val="009A4659"/>
    <w:rsid w:val="009B19DD"/>
    <w:rsid w:val="009B466C"/>
    <w:rsid w:val="009B4826"/>
    <w:rsid w:val="009B6EC4"/>
    <w:rsid w:val="009B771C"/>
    <w:rsid w:val="009C1DBC"/>
    <w:rsid w:val="009C448E"/>
    <w:rsid w:val="009C4E17"/>
    <w:rsid w:val="009C53E5"/>
    <w:rsid w:val="009C64EE"/>
    <w:rsid w:val="009C739D"/>
    <w:rsid w:val="009D021A"/>
    <w:rsid w:val="009D06D7"/>
    <w:rsid w:val="009D12D7"/>
    <w:rsid w:val="009D35A1"/>
    <w:rsid w:val="009D5392"/>
    <w:rsid w:val="009D6D43"/>
    <w:rsid w:val="009D7509"/>
    <w:rsid w:val="009E0A25"/>
    <w:rsid w:val="009E3660"/>
    <w:rsid w:val="009E4DCF"/>
    <w:rsid w:val="009E4F4F"/>
    <w:rsid w:val="009E585F"/>
    <w:rsid w:val="009F1D36"/>
    <w:rsid w:val="00A0702F"/>
    <w:rsid w:val="00A07CFB"/>
    <w:rsid w:val="00A102F2"/>
    <w:rsid w:val="00A15D8D"/>
    <w:rsid w:val="00A17961"/>
    <w:rsid w:val="00A26878"/>
    <w:rsid w:val="00A26929"/>
    <w:rsid w:val="00A27534"/>
    <w:rsid w:val="00A31397"/>
    <w:rsid w:val="00A50A5B"/>
    <w:rsid w:val="00A54F23"/>
    <w:rsid w:val="00A56522"/>
    <w:rsid w:val="00A56877"/>
    <w:rsid w:val="00A61274"/>
    <w:rsid w:val="00A67375"/>
    <w:rsid w:val="00A67EEA"/>
    <w:rsid w:val="00A712A8"/>
    <w:rsid w:val="00A72128"/>
    <w:rsid w:val="00A73284"/>
    <w:rsid w:val="00A73DE1"/>
    <w:rsid w:val="00A76C44"/>
    <w:rsid w:val="00A77715"/>
    <w:rsid w:val="00A81A69"/>
    <w:rsid w:val="00A83C2D"/>
    <w:rsid w:val="00A919C1"/>
    <w:rsid w:val="00A934CD"/>
    <w:rsid w:val="00A93D81"/>
    <w:rsid w:val="00A94A39"/>
    <w:rsid w:val="00A95D6D"/>
    <w:rsid w:val="00AA114B"/>
    <w:rsid w:val="00AA30DC"/>
    <w:rsid w:val="00AA3B03"/>
    <w:rsid w:val="00AA4F95"/>
    <w:rsid w:val="00AB57D6"/>
    <w:rsid w:val="00AB5D35"/>
    <w:rsid w:val="00AB5E16"/>
    <w:rsid w:val="00AC69D4"/>
    <w:rsid w:val="00AC69E0"/>
    <w:rsid w:val="00AC6DE4"/>
    <w:rsid w:val="00AD1A14"/>
    <w:rsid w:val="00AD26CF"/>
    <w:rsid w:val="00AD3853"/>
    <w:rsid w:val="00AD4497"/>
    <w:rsid w:val="00AD5B42"/>
    <w:rsid w:val="00AD696E"/>
    <w:rsid w:val="00AD6E7C"/>
    <w:rsid w:val="00AD6EA5"/>
    <w:rsid w:val="00AD775F"/>
    <w:rsid w:val="00AE05D3"/>
    <w:rsid w:val="00AE3915"/>
    <w:rsid w:val="00AE7C7F"/>
    <w:rsid w:val="00AF4DE9"/>
    <w:rsid w:val="00B00C0A"/>
    <w:rsid w:val="00B01407"/>
    <w:rsid w:val="00B035D1"/>
    <w:rsid w:val="00B04F9D"/>
    <w:rsid w:val="00B05A4A"/>
    <w:rsid w:val="00B07711"/>
    <w:rsid w:val="00B10D04"/>
    <w:rsid w:val="00B111C6"/>
    <w:rsid w:val="00B126A5"/>
    <w:rsid w:val="00B150C9"/>
    <w:rsid w:val="00B173AD"/>
    <w:rsid w:val="00B17D82"/>
    <w:rsid w:val="00B240E7"/>
    <w:rsid w:val="00B253BF"/>
    <w:rsid w:val="00B2699F"/>
    <w:rsid w:val="00B26DC6"/>
    <w:rsid w:val="00B31BCC"/>
    <w:rsid w:val="00B32E51"/>
    <w:rsid w:val="00B364AF"/>
    <w:rsid w:val="00B43A61"/>
    <w:rsid w:val="00B53099"/>
    <w:rsid w:val="00B53929"/>
    <w:rsid w:val="00B53EA7"/>
    <w:rsid w:val="00B56867"/>
    <w:rsid w:val="00B66E95"/>
    <w:rsid w:val="00B6757F"/>
    <w:rsid w:val="00B773CE"/>
    <w:rsid w:val="00B77D30"/>
    <w:rsid w:val="00B836DC"/>
    <w:rsid w:val="00B846CB"/>
    <w:rsid w:val="00B900B2"/>
    <w:rsid w:val="00B90C16"/>
    <w:rsid w:val="00B93101"/>
    <w:rsid w:val="00BA2B1C"/>
    <w:rsid w:val="00BA6444"/>
    <w:rsid w:val="00BB18B0"/>
    <w:rsid w:val="00BB37C4"/>
    <w:rsid w:val="00BB613C"/>
    <w:rsid w:val="00BB66BA"/>
    <w:rsid w:val="00BC0A5A"/>
    <w:rsid w:val="00BC13E7"/>
    <w:rsid w:val="00BC1408"/>
    <w:rsid w:val="00BC2068"/>
    <w:rsid w:val="00BC3603"/>
    <w:rsid w:val="00BC420A"/>
    <w:rsid w:val="00BC48B6"/>
    <w:rsid w:val="00BC5E4C"/>
    <w:rsid w:val="00BD6AF0"/>
    <w:rsid w:val="00BE02A2"/>
    <w:rsid w:val="00BE2D24"/>
    <w:rsid w:val="00BE44F5"/>
    <w:rsid w:val="00BE6A51"/>
    <w:rsid w:val="00BF0436"/>
    <w:rsid w:val="00BF2186"/>
    <w:rsid w:val="00BF41EA"/>
    <w:rsid w:val="00BF4812"/>
    <w:rsid w:val="00BF54CE"/>
    <w:rsid w:val="00BF5B4F"/>
    <w:rsid w:val="00C041C9"/>
    <w:rsid w:val="00C058B3"/>
    <w:rsid w:val="00C0599B"/>
    <w:rsid w:val="00C06165"/>
    <w:rsid w:val="00C07E2B"/>
    <w:rsid w:val="00C165CA"/>
    <w:rsid w:val="00C20670"/>
    <w:rsid w:val="00C21CA8"/>
    <w:rsid w:val="00C25E88"/>
    <w:rsid w:val="00C31553"/>
    <w:rsid w:val="00C34FA6"/>
    <w:rsid w:val="00C35674"/>
    <w:rsid w:val="00C4060F"/>
    <w:rsid w:val="00C4231B"/>
    <w:rsid w:val="00C427AB"/>
    <w:rsid w:val="00C46EFD"/>
    <w:rsid w:val="00C50BF0"/>
    <w:rsid w:val="00C52B41"/>
    <w:rsid w:val="00C53C52"/>
    <w:rsid w:val="00C573DF"/>
    <w:rsid w:val="00C612BB"/>
    <w:rsid w:val="00C614F5"/>
    <w:rsid w:val="00C63A0F"/>
    <w:rsid w:val="00C710F6"/>
    <w:rsid w:val="00C719F1"/>
    <w:rsid w:val="00C73E3E"/>
    <w:rsid w:val="00C770FB"/>
    <w:rsid w:val="00C8075C"/>
    <w:rsid w:val="00C90D3B"/>
    <w:rsid w:val="00C90E24"/>
    <w:rsid w:val="00C94850"/>
    <w:rsid w:val="00C9706D"/>
    <w:rsid w:val="00C976F3"/>
    <w:rsid w:val="00CA148B"/>
    <w:rsid w:val="00CA6949"/>
    <w:rsid w:val="00CA76CE"/>
    <w:rsid w:val="00CB03AB"/>
    <w:rsid w:val="00CB060D"/>
    <w:rsid w:val="00CB09DA"/>
    <w:rsid w:val="00CB3C43"/>
    <w:rsid w:val="00CC07E5"/>
    <w:rsid w:val="00CC2751"/>
    <w:rsid w:val="00CC2F91"/>
    <w:rsid w:val="00CC4B84"/>
    <w:rsid w:val="00CC58DF"/>
    <w:rsid w:val="00CC75C5"/>
    <w:rsid w:val="00CD043B"/>
    <w:rsid w:val="00CD31A2"/>
    <w:rsid w:val="00CD3A2A"/>
    <w:rsid w:val="00CD4428"/>
    <w:rsid w:val="00CD6037"/>
    <w:rsid w:val="00CD6C71"/>
    <w:rsid w:val="00CE45E8"/>
    <w:rsid w:val="00CF0C02"/>
    <w:rsid w:val="00CF1B1D"/>
    <w:rsid w:val="00CF1BD4"/>
    <w:rsid w:val="00CF2191"/>
    <w:rsid w:val="00CF4400"/>
    <w:rsid w:val="00CF593A"/>
    <w:rsid w:val="00CF6C61"/>
    <w:rsid w:val="00D042AC"/>
    <w:rsid w:val="00D04989"/>
    <w:rsid w:val="00D058EC"/>
    <w:rsid w:val="00D07699"/>
    <w:rsid w:val="00D12A57"/>
    <w:rsid w:val="00D136F7"/>
    <w:rsid w:val="00D1492A"/>
    <w:rsid w:val="00D15E96"/>
    <w:rsid w:val="00D16645"/>
    <w:rsid w:val="00D17D8C"/>
    <w:rsid w:val="00D244FA"/>
    <w:rsid w:val="00D3082E"/>
    <w:rsid w:val="00D31A80"/>
    <w:rsid w:val="00D33115"/>
    <w:rsid w:val="00D37CE7"/>
    <w:rsid w:val="00D454CC"/>
    <w:rsid w:val="00D45940"/>
    <w:rsid w:val="00D45A39"/>
    <w:rsid w:val="00D533CA"/>
    <w:rsid w:val="00D55FB2"/>
    <w:rsid w:val="00D56405"/>
    <w:rsid w:val="00D570CF"/>
    <w:rsid w:val="00D570D7"/>
    <w:rsid w:val="00D60549"/>
    <w:rsid w:val="00D61987"/>
    <w:rsid w:val="00D644F9"/>
    <w:rsid w:val="00D73A3C"/>
    <w:rsid w:val="00D73B04"/>
    <w:rsid w:val="00D74059"/>
    <w:rsid w:val="00D76268"/>
    <w:rsid w:val="00D83118"/>
    <w:rsid w:val="00D93232"/>
    <w:rsid w:val="00D938AA"/>
    <w:rsid w:val="00D93CF2"/>
    <w:rsid w:val="00D94ECB"/>
    <w:rsid w:val="00DA1429"/>
    <w:rsid w:val="00DA1E19"/>
    <w:rsid w:val="00DB1970"/>
    <w:rsid w:val="00DB26CC"/>
    <w:rsid w:val="00DB2F87"/>
    <w:rsid w:val="00DB3220"/>
    <w:rsid w:val="00DB4DAB"/>
    <w:rsid w:val="00DB5253"/>
    <w:rsid w:val="00DB558B"/>
    <w:rsid w:val="00DC21B6"/>
    <w:rsid w:val="00DC3563"/>
    <w:rsid w:val="00DC501A"/>
    <w:rsid w:val="00DD1442"/>
    <w:rsid w:val="00DD55AB"/>
    <w:rsid w:val="00DE0835"/>
    <w:rsid w:val="00DE08B0"/>
    <w:rsid w:val="00DE282C"/>
    <w:rsid w:val="00DE7192"/>
    <w:rsid w:val="00DF4F35"/>
    <w:rsid w:val="00DF509F"/>
    <w:rsid w:val="00DF56EF"/>
    <w:rsid w:val="00E01A1F"/>
    <w:rsid w:val="00E21138"/>
    <w:rsid w:val="00E235F6"/>
    <w:rsid w:val="00E25EC1"/>
    <w:rsid w:val="00E26299"/>
    <w:rsid w:val="00E33E37"/>
    <w:rsid w:val="00E345DB"/>
    <w:rsid w:val="00E36B00"/>
    <w:rsid w:val="00E37167"/>
    <w:rsid w:val="00E37424"/>
    <w:rsid w:val="00E433FC"/>
    <w:rsid w:val="00E441B5"/>
    <w:rsid w:val="00E44F57"/>
    <w:rsid w:val="00E50BF0"/>
    <w:rsid w:val="00E51E55"/>
    <w:rsid w:val="00E57FF9"/>
    <w:rsid w:val="00E631C9"/>
    <w:rsid w:val="00E654B6"/>
    <w:rsid w:val="00E7331E"/>
    <w:rsid w:val="00E736E4"/>
    <w:rsid w:val="00E73781"/>
    <w:rsid w:val="00E75FA8"/>
    <w:rsid w:val="00E76B16"/>
    <w:rsid w:val="00E83C68"/>
    <w:rsid w:val="00E84704"/>
    <w:rsid w:val="00E92985"/>
    <w:rsid w:val="00E9401A"/>
    <w:rsid w:val="00E95DF9"/>
    <w:rsid w:val="00E97CB6"/>
    <w:rsid w:val="00EA24A4"/>
    <w:rsid w:val="00EA41E3"/>
    <w:rsid w:val="00EA4EBD"/>
    <w:rsid w:val="00EA5C16"/>
    <w:rsid w:val="00EB0A7A"/>
    <w:rsid w:val="00EB7F19"/>
    <w:rsid w:val="00EC049D"/>
    <w:rsid w:val="00EC0E31"/>
    <w:rsid w:val="00EC677D"/>
    <w:rsid w:val="00ED4B10"/>
    <w:rsid w:val="00ED4FDB"/>
    <w:rsid w:val="00ED5C4F"/>
    <w:rsid w:val="00ED69C5"/>
    <w:rsid w:val="00EE00B2"/>
    <w:rsid w:val="00EE0929"/>
    <w:rsid w:val="00EE1B9C"/>
    <w:rsid w:val="00EE1DC3"/>
    <w:rsid w:val="00EE450B"/>
    <w:rsid w:val="00EF29C9"/>
    <w:rsid w:val="00F121F9"/>
    <w:rsid w:val="00F12E32"/>
    <w:rsid w:val="00F162B0"/>
    <w:rsid w:val="00F20DC8"/>
    <w:rsid w:val="00F2158C"/>
    <w:rsid w:val="00F23898"/>
    <w:rsid w:val="00F2413D"/>
    <w:rsid w:val="00F4193E"/>
    <w:rsid w:val="00F47AA0"/>
    <w:rsid w:val="00F52271"/>
    <w:rsid w:val="00F65F43"/>
    <w:rsid w:val="00F66865"/>
    <w:rsid w:val="00F7031D"/>
    <w:rsid w:val="00F730FD"/>
    <w:rsid w:val="00F75E03"/>
    <w:rsid w:val="00F77CE2"/>
    <w:rsid w:val="00F83F2D"/>
    <w:rsid w:val="00F868F1"/>
    <w:rsid w:val="00F87BC6"/>
    <w:rsid w:val="00F87EEB"/>
    <w:rsid w:val="00F9130C"/>
    <w:rsid w:val="00F94BEF"/>
    <w:rsid w:val="00F9734D"/>
    <w:rsid w:val="00F97439"/>
    <w:rsid w:val="00FA305E"/>
    <w:rsid w:val="00FA7409"/>
    <w:rsid w:val="00FA7536"/>
    <w:rsid w:val="00FC6569"/>
    <w:rsid w:val="00FD4922"/>
    <w:rsid w:val="00FD5B3B"/>
    <w:rsid w:val="00FD7321"/>
    <w:rsid w:val="00FD744D"/>
    <w:rsid w:val="00FE2BC9"/>
    <w:rsid w:val="00FE3029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00"/>
    </o:shapedefaults>
    <o:shapelayout v:ext="edit">
      <o:idmap v:ext="edit" data="1"/>
    </o:shapelayout>
  </w:shapeDefaults>
  <w:decimalSymbol w:val="."/>
  <w:listSeparator w:val=","/>
  <w14:docId w14:val="19A41578"/>
  <w15:docId w15:val="{1BD78997-68C4-49EF-BBBE-0A1B99D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3042"/>
    <w:pPr>
      <w:keepNext/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4123E4"/>
    <w:pPr>
      <w:keepNext/>
      <w:spacing w:after="12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4123E4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FFFF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ext">
    <w:name w:val="text"/>
    <w:basedOn w:val="Normal"/>
    <w:rPr>
      <w:color w:val="000000"/>
      <w:szCs w:val="20"/>
    </w:rPr>
  </w:style>
  <w:style w:type="character" w:customStyle="1" w:styleId="textChar">
    <w:name w:val="text Char"/>
    <w:rPr>
      <w:color w:val="000000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E9401A"/>
    <w:pPr>
      <w:tabs>
        <w:tab w:val="right" w:leader="dot" w:pos="9000"/>
      </w:tabs>
      <w:spacing w:before="120"/>
    </w:pPr>
    <w:rPr>
      <w:noProof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lang w:val="x-none" w:eastAsia="x-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2">
    <w:name w:val="toc 2"/>
    <w:basedOn w:val="Normal"/>
    <w:next w:val="Normal"/>
    <w:autoRedefine/>
    <w:rsid w:val="00683042"/>
    <w:pPr>
      <w:tabs>
        <w:tab w:val="right" w:leader="dot" w:pos="9000"/>
      </w:tabs>
      <w:ind w:left="720" w:hanging="480"/>
    </w:pPr>
    <w:rPr>
      <w:noProof/>
    </w:rPr>
  </w:style>
  <w:style w:type="paragraph" w:customStyle="1" w:styleId="Style1">
    <w:name w:val="Style1"/>
    <w:basedOn w:val="Heading2"/>
    <w:rPr>
      <w:b w:val="0"/>
      <w:i/>
    </w:rPr>
  </w:style>
  <w:style w:type="paragraph" w:customStyle="1" w:styleId="indent1">
    <w:name w:val="indent1"/>
    <w:basedOn w:val="BodyText"/>
    <w:rsid w:val="004123E4"/>
    <w:pPr>
      <w:ind w:left="450" w:hanging="450"/>
    </w:pPr>
  </w:style>
  <w:style w:type="paragraph" w:customStyle="1" w:styleId="indent2">
    <w:name w:val="indent2"/>
    <w:basedOn w:val="Normal"/>
    <w:rsid w:val="004123E4"/>
    <w:pPr>
      <w:ind w:left="900" w:hanging="423"/>
    </w:pPr>
  </w:style>
  <w:style w:type="paragraph" w:customStyle="1" w:styleId="bullet1">
    <w:name w:val="bullet1"/>
    <w:basedOn w:val="BodyText"/>
    <w:link w:val="bullet1Char"/>
    <w:rsid w:val="00921D8C"/>
    <w:pPr>
      <w:tabs>
        <w:tab w:val="left" w:pos="360"/>
      </w:tabs>
      <w:ind w:left="360" w:hanging="360"/>
    </w:pPr>
  </w:style>
  <w:style w:type="paragraph" w:customStyle="1" w:styleId="bullet2">
    <w:name w:val="bullet2"/>
    <w:basedOn w:val="bullet1"/>
    <w:rsid w:val="004123E4"/>
    <w:pPr>
      <w:tabs>
        <w:tab w:val="clear" w:pos="360"/>
        <w:tab w:val="left" w:pos="720"/>
      </w:tabs>
      <w:ind w:left="720"/>
    </w:pPr>
  </w:style>
  <w:style w:type="paragraph" w:customStyle="1" w:styleId="bullet3">
    <w:name w:val="bullet3"/>
    <w:basedOn w:val="bullet2"/>
    <w:rsid w:val="004123E4"/>
    <w:pPr>
      <w:tabs>
        <w:tab w:val="clear" w:pos="720"/>
        <w:tab w:val="left" w:pos="1080"/>
      </w:tabs>
      <w:ind w:left="1080"/>
    </w:pPr>
  </w:style>
  <w:style w:type="paragraph" w:customStyle="1" w:styleId="bullet4">
    <w:name w:val="bullet4"/>
    <w:basedOn w:val="bullet3"/>
    <w:rsid w:val="004123E4"/>
    <w:pPr>
      <w:tabs>
        <w:tab w:val="clear" w:pos="1080"/>
        <w:tab w:val="left" w:pos="1440"/>
      </w:tabs>
      <w:ind w:left="1440"/>
    </w:pPr>
  </w:style>
  <w:style w:type="character" w:customStyle="1" w:styleId="BodyTextChar">
    <w:name w:val="Body Text Char"/>
    <w:link w:val="BodyText"/>
    <w:rsid w:val="0075475A"/>
    <w:rPr>
      <w:sz w:val="24"/>
      <w:szCs w:val="24"/>
      <w:lang w:val="en-US" w:eastAsia="en-US" w:bidi="ar-SA"/>
    </w:rPr>
  </w:style>
  <w:style w:type="character" w:customStyle="1" w:styleId="bullet1Char">
    <w:name w:val="bullet1 Char"/>
    <w:basedOn w:val="BodyTextChar"/>
    <w:link w:val="bullet1"/>
    <w:rsid w:val="00921D8C"/>
    <w:rPr>
      <w:sz w:val="24"/>
      <w:szCs w:val="24"/>
      <w:lang w:val="en-US" w:eastAsia="en-US" w:bidi="ar-SA"/>
    </w:rPr>
  </w:style>
  <w:style w:type="paragraph" w:customStyle="1" w:styleId="indent3">
    <w:name w:val="indent3"/>
    <w:basedOn w:val="indent2"/>
    <w:rsid w:val="009D35A1"/>
    <w:pPr>
      <w:ind w:left="1170"/>
    </w:pPr>
  </w:style>
  <w:style w:type="paragraph" w:customStyle="1" w:styleId="86exhmeasure">
    <w:name w:val="86 exh measure"/>
    <w:basedOn w:val="Normal"/>
    <w:next w:val="Normal"/>
    <w:rsid w:val="005E21F1"/>
    <w:pPr>
      <w:spacing w:before="100"/>
    </w:pPr>
    <w:rPr>
      <w:rFonts w:ascii="Arial" w:hAnsi="Arial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719F1"/>
    <w:pPr>
      <w:ind w:left="720"/>
      <w:contextualSpacing/>
    </w:pPr>
    <w:rPr>
      <w:rFonts w:eastAsia="Calibri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719F1"/>
    <w:rPr>
      <w:b/>
      <w:bCs/>
    </w:rPr>
  </w:style>
  <w:style w:type="character" w:customStyle="1" w:styleId="FooterChar">
    <w:name w:val="Footer Char"/>
    <w:link w:val="Footer"/>
    <w:uiPriority w:val="99"/>
    <w:rsid w:val="0063636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7262A"/>
    <w:rPr>
      <w:sz w:val="24"/>
      <w:szCs w:val="24"/>
    </w:rPr>
  </w:style>
  <w:style w:type="table" w:styleId="TableGrid">
    <w:name w:val="Table Grid"/>
    <w:basedOn w:val="TableNormal"/>
    <w:uiPriority w:val="59"/>
    <w:rsid w:val="001D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E16"/>
    <w:pPr>
      <w:ind w:left="720"/>
      <w:contextualSpacing/>
    </w:pPr>
    <w:rPr>
      <w:rFonts w:eastAsia="Calibri"/>
      <w:szCs w:val="22"/>
    </w:rPr>
  </w:style>
  <w:style w:type="paragraph" w:customStyle="1" w:styleId="Normal1">
    <w:name w:val="Normal1"/>
    <w:rsid w:val="00F52271"/>
    <w:rPr>
      <w:color w:val="000000"/>
      <w:sz w:val="24"/>
      <w:szCs w:val="22"/>
    </w:rPr>
  </w:style>
  <w:style w:type="character" w:styleId="Strong">
    <w:name w:val="Strong"/>
    <w:uiPriority w:val="22"/>
    <w:qFormat/>
    <w:rsid w:val="0016511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A4308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5EC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12C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112C6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2C6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112C6"/>
    <w:rPr>
      <w:rFonts w:eastAsia="Calibri"/>
    </w:rPr>
  </w:style>
  <w:style w:type="character" w:styleId="FootnoteReference">
    <w:name w:val="footnote reference"/>
    <w:uiPriority w:val="99"/>
    <w:semiHidden/>
    <w:unhideWhenUsed/>
    <w:rsid w:val="009112C6"/>
    <w:rPr>
      <w:vertAlign w:val="superscript"/>
    </w:rPr>
  </w:style>
  <w:style w:type="paragraph" w:styleId="Revision">
    <w:name w:val="Revision"/>
    <w:hidden/>
    <w:uiPriority w:val="99"/>
    <w:semiHidden/>
    <w:rsid w:val="00242D0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615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arizona.edu/policy/appointed-personnel/3.1.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r.arizona.edu/policy/appointed-personnel/defini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.sbs.arizona.edu/sites/default/files/u84/Adjuncts%20in%20SBS%20Sp15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%20Tools\5-year_bus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EC0C3B-07F9-47A6-B5BC-85CCEFECD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C12C5-E4F2-46A3-9F88-5F9B2F95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5-year_bus_plan_Template</Template>
  <TotalTime>3</TotalTime>
  <Pages>3</Pages>
  <Words>976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Year Business Plan</vt:lpstr>
    </vt:vector>
  </TitlesOfParts>
  <Company>The Ohio State University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FOD OPS RIO</dc:subject>
  <dc:creator/>
  <cp:lastModifiedBy>Prentiss, November Rose - (npapaleo)</cp:lastModifiedBy>
  <cp:revision>4</cp:revision>
  <cp:lastPrinted>2015-01-23T19:30:00Z</cp:lastPrinted>
  <dcterms:created xsi:type="dcterms:W3CDTF">2018-11-09T18:49:00Z</dcterms:created>
  <dcterms:modified xsi:type="dcterms:W3CDTF">2018-11-13T18:29:00Z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